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jc w:val="center"/>
      </w:pPr>
      <w:r>
        <w:rPr>
          <w:b/>
          <w:color w:val="183247"/>
          <w:sz w:val="68"/>
        </w:rPr>
        <w:t>7 CĂRĂRI</w:t>
      </w:r>
    </w:p>
    <w:p>
      <w:pPr>
        <w:jc w:val="center"/>
      </w:pPr>
      <w:r>
        <w:rPr>
          <w:color w:val="1D7775"/>
          <w:sz w:val="40"/>
        </w:rPr>
        <w:t>Revizuire exhaustivă, Partea I</w:t>
      </w:r>
    </w:p>
    <w:p>
      <w:pPr>
        <w:jc w:val="center"/>
      </w:pPr>
      <w:r>
        <w:rPr>
          <w:i/>
          <w:color w:val="4F765A"/>
          <w:sz w:val="26"/>
        </w:rPr>
        <w:t>Fundamentul strategic și clinic al aplicației standalone</w:t>
      </w:r>
    </w:p>
    <w:tbl>
      <w:tblPr>
        <w:tblW w:type="auto" w:w="0"/>
        <w:jc w:val="center"/>
        <w:tblLayout w:type="fixed"/>
        <w:tblLook w:firstColumn="1" w:firstRow="1" w:lastColumn="0" w:lastRow="0" w:noHBand="0" w:noVBand="1" w:val="04A0"/>
      </w:tblPr>
      <w:tblGrid>
        <w:gridCol w:w="2409"/>
        <w:gridCol w:w="2409"/>
        <w:gridCol w:w="2409"/>
        <w:gridCol w:w="2409"/>
      </w:tblGrid>
      <w:tr>
        <w:tc>
          <w:tcPr>
            <w:tcW w:type="dxa" w:w="2353"/>
            <w:shd w:fill="183247"/>
            <w:tcMar>
              <w:top w:w="30" w:type="dxa"/>
              <w:start w:w="0" w:type="dxa"/>
              <w:bottom w:w="30" w:type="dxa"/>
              <w:end w:w="0" w:type="dxa"/>
            </w:tcMar>
            <w:vAlign w:val="top"/>
          </w:tcPr>
          <w:p>
            <w:pPr>
              <w:spacing w:line="240" w:lineRule="auto"/>
            </w:pPr>
            <w:r>
              <w:rPr>
                <w:rFonts w:ascii="Arial" w:hAnsi="Arial"/>
              </w:rPr>
            </w:r>
          </w:p>
        </w:tc>
        <w:tc>
          <w:tcPr>
            <w:tcW w:type="dxa" w:w="2353"/>
            <w:shd w:fill="1D7775"/>
            <w:tcMar>
              <w:top w:w="30" w:type="dxa"/>
              <w:start w:w="0" w:type="dxa"/>
              <w:bottom w:w="30" w:type="dxa"/>
              <w:end w:w="0" w:type="dxa"/>
            </w:tcMar>
            <w:vAlign w:val="top"/>
          </w:tcPr>
          <w:p>
            <w:pPr>
              <w:spacing w:line="240" w:lineRule="auto"/>
            </w:pPr>
            <w:r>
              <w:rPr>
                <w:rFonts w:ascii="Arial" w:hAnsi="Arial"/>
              </w:rPr>
            </w:r>
          </w:p>
        </w:tc>
        <w:tc>
          <w:tcPr>
            <w:tcW w:type="dxa" w:w="2353"/>
            <w:shd w:fill="4F765A"/>
            <w:tcMar>
              <w:top w:w="30" w:type="dxa"/>
              <w:start w:w="0" w:type="dxa"/>
              <w:bottom w:w="30" w:type="dxa"/>
              <w:end w:w="0" w:type="dxa"/>
            </w:tcMar>
            <w:vAlign w:val="top"/>
          </w:tcPr>
          <w:p>
            <w:pPr>
              <w:spacing w:line="240" w:lineRule="auto"/>
            </w:pPr>
            <w:r>
              <w:rPr>
                <w:rFonts w:ascii="Arial" w:hAnsi="Arial"/>
              </w:rPr>
            </w:r>
          </w:p>
        </w:tc>
        <w:tc>
          <w:tcPr>
            <w:tcW w:type="dxa" w:w="2353"/>
            <w:shd w:fill="B8892E"/>
            <w:tcMar>
              <w:top w:w="30" w:type="dxa"/>
              <w:start w:w="0" w:type="dxa"/>
              <w:bottom w:w="30" w:type="dxa"/>
              <w:end w:w="0" w:type="dxa"/>
            </w:tcMar>
            <w:vAlign w:val="top"/>
          </w:tcPr>
          <w:p>
            <w:pPr>
              <w:spacing w:line="240" w:lineRule="auto"/>
            </w:pPr>
            <w:r>
              <w:rPr>
                <w:rFonts w:ascii="Arial" w:hAnsi="Arial"/>
              </w:rPr>
            </w:r>
          </w:p>
        </w:tc>
      </w:tr>
    </w:tbl>
    <w:p/>
    <w:tbl>
      <w:tblPr>
        <w:tblW w:type="auto" w:w="0"/>
        <w:jc w:val="center"/>
        <w:tblLayout w:type="fixed"/>
        <w:tblLook w:firstColumn="1" w:firstRow="1" w:lastColumn="0" w:lastRow="0" w:noHBand="0" w:noVBand="1" w:val="04A0"/>
      </w:tblPr>
      <w:tblGrid>
        <w:gridCol w:w="9638"/>
      </w:tblGrid>
      <w:tr>
        <w:tc>
          <w:tcPr>
            <w:tcW w:type="dxa" w:w="9411"/>
            <w:shd w:fill="FAF4E4"/>
            <w:tcMar>
              <w:top w:w="130" w:type="dxa"/>
              <w:start w:w="150" w:type="dxa"/>
              <w:bottom w:w="130" w:type="dxa"/>
              <w:end w:w="150" w:type="dxa"/>
            </w:tcMar>
            <w:tcBorders>
              <w:top w:val="single" w:sz="8" w:color="B8892E"/>
              <w:left w:val="single" w:sz="8" w:color="B8892E"/>
              <w:bottom w:val="single" w:sz="8" w:color="B8892E"/>
              <w:right w:val="single" w:sz="8" w:color="B8892E"/>
            </w:tcBorders>
            <w:vAlign w:val="top"/>
          </w:tcPr>
          <w:p>
            <w:pPr>
              <w:spacing w:line="240" w:lineRule="auto"/>
            </w:pPr>
            <w:r>
              <w:rPr>
                <w:rFonts w:ascii="Arial" w:hAnsi="Arial"/>
                <w:b/>
                <w:color w:val="B8892E"/>
                <w:sz w:val="21"/>
              </w:rPr>
              <w:t>Domeniul revizuit</w:t>
            </w:r>
          </w:p>
          <w:p>
            <w:pPr>
              <w:spacing w:after="0" w:line="240" w:lineRule="auto"/>
            </w:pPr>
            <w:r>
              <w:rPr>
                <w:rFonts w:ascii="Arial" w:hAnsi="Arial"/>
              </w:rPr>
              <w:t>Nota introductivă și capitolele 1-5 din planul operațional: rezumatul executiv, decizia strategică, definiția produsului, segmentele de utilizatori și modelul clinic 7 Cărări.</w:t>
            </w:r>
          </w:p>
        </w:tc>
      </w:tr>
    </w:tbl>
    <w:p>
      <w:pPr>
        <w:spacing w:after="20"/>
      </w:pPr>
    </w:p>
    <w:p>
      <w:pPr>
        <w:spacing w:before="300"/>
        <w:jc w:val="center"/>
      </w:pPr>
      <w:r>
        <w:rPr>
          <w:b/>
          <w:color w:val="1F2937"/>
          <w:sz w:val="21"/>
        </w:rPr>
        <w:t>Document de lucru pentru proiectul Psinaptic / 7 Cărări</w:t>
        <w:br/>
      </w:r>
      <w:r>
        <w:rPr>
          <w:b w:val="0"/>
          <w:color w:val="667085"/>
          <w:sz w:val="20"/>
        </w:rPr>
        <w:t>Versiunea 0.2, 22 iulie 2026</w:t>
        <w:br/>
      </w:r>
      <w:r>
        <w:rPr>
          <w:b w:val="0"/>
          <w:color w:val="667085"/>
          <w:sz w:val="19"/>
        </w:rPr>
        <w:t>Text pregătit pentru înlocuirea primei părți din documentul master</w:t>
        <w:br/>
      </w:r>
    </w:p>
    <w:p>
      <w:r>
        <w:br w:type="page"/>
      </w:r>
    </w:p>
    <w:p>
      <w:pPr>
        <w:pStyle w:val="Heading1"/>
        <w:keepNext/>
      </w:pPr>
      <w:r>
        <w:t>0. Metoda de revizuire</w:t>
      </w:r>
    </w:p>
    <w:p>
      <w:r>
        <w:rPr>
          <w:i w:val="0"/>
        </w:rPr>
        <w:t>Revizuirea a urmărit patru întrebări: dacă produsul este definit suficient de clar pentru a fi construit și vândut; dacă afirmațiile clinice sunt proporționale cu dovezile; dacă modelul 7 Cărări este delimitat de evaluarea clinică și de nivelul de îngrijire; și dacă prima populație de utilizatori este suficient de îngustă pentru un pilot credibil.</w:t>
      </w:r>
    </w:p>
    <w:p>
      <w:pPr>
        <w:pStyle w:val="Heading2"/>
        <w:keepNext/>
      </w:pPr>
      <w:r>
        <w:t>0.1. Sursele folosite</w:t>
      </w:r>
    </w:p>
    <w:p>
      <w:pPr>
        <w:pStyle w:val="ListBullet"/>
        <w:spacing w:after="60"/>
      </w:pPr>
      <w:r>
        <w:t>documentul operațional existent;</w:t>
      </w:r>
    </w:p>
    <w:p>
      <w:pPr>
        <w:pStyle w:val="ListBullet"/>
        <w:spacing w:after="60"/>
      </w:pPr>
      <w:r>
        <w:t>manualele din Google Drive privind recovery management, interviul motivațional, terapia de grup, planificarea tratamentului și psihiatria adicțiilor;</w:t>
      </w:r>
    </w:p>
    <w:p>
      <w:pPr>
        <w:pStyle w:val="ListBullet"/>
        <w:spacing w:after="60"/>
      </w:pPr>
      <w:r>
        <w:t>WHO/UNODC International Standards for the Treatment of Drug Use Disorders, 2020;</w:t>
      </w:r>
    </w:p>
    <w:p>
      <w:pPr>
        <w:pStyle w:val="ListBullet"/>
        <w:spacing w:after="60"/>
      </w:pPr>
      <w:r>
        <w:t>SAMHSA, principiile și dimensiunile recuperării, actualizate în 2024-2026;</w:t>
      </w:r>
    </w:p>
    <w:p>
      <w:pPr>
        <w:pStyle w:val="ListBullet"/>
        <w:spacing w:after="60"/>
      </w:pPr>
      <w:r>
        <w:t>ASAM Criteria, ediția a 4-a și ghidurile de evaluare disponibile în 2026;</w:t>
      </w:r>
    </w:p>
    <w:p>
      <w:pPr>
        <w:pStyle w:val="ListBullet"/>
        <w:spacing w:after="60"/>
      </w:pPr>
      <w:r>
        <w:t>NIDA, Principles of Drug Addiction Treatment;</w:t>
      </w:r>
    </w:p>
    <w:p>
      <w:pPr>
        <w:pStyle w:val="ListBullet"/>
        <w:spacing w:after="60"/>
      </w:pPr>
      <w:r>
        <w:t>NICE CG115 și actualizările până în aprilie 2026;</w:t>
      </w:r>
    </w:p>
    <w:p>
      <w:pPr>
        <w:pStyle w:val="ListBullet"/>
        <w:spacing w:after="60"/>
      </w:pPr>
      <w:r>
        <w:t>EUDA Best Practice Portal pentru intervenții digitale, case management și continuitatea îngrijirii.</w:t>
      </w:r>
    </w:p>
    <w:p>
      <w:pPr>
        <w:pStyle w:val="Heading2"/>
        <w:keepNext/>
      </w:pPr>
      <w:r>
        <w:t>0.2. Statutul rezultatului</w:t>
      </w:r>
    </w:p>
    <w:tbl>
      <w:tblPr>
        <w:tblW w:type="auto" w:w="0"/>
        <w:jc w:val="center"/>
        <w:tblLayout w:type="fixed"/>
        <w:tblLook w:firstColumn="1" w:firstRow="1" w:lastColumn="0" w:lastRow="0" w:noHBand="0" w:noVBand="1" w:val="04A0"/>
      </w:tblPr>
      <w:tblGrid>
        <w:gridCol w:w="9638"/>
      </w:tblGrid>
      <w:tr>
        <w:tc>
          <w:tcPr>
            <w:tcW w:type="dxa" w:w="9411"/>
            <w:shd w:fill="FBEDEE"/>
            <w:tcMar>
              <w:top w:w="130" w:type="dxa"/>
              <w:start w:w="150" w:type="dxa"/>
              <w:bottom w:w="130" w:type="dxa"/>
              <w:end w:w="150" w:type="dxa"/>
            </w:tcMar>
            <w:tcBorders>
              <w:top w:val="single" w:sz="8" w:color="A13D3D"/>
              <w:left w:val="single" w:sz="8" w:color="A13D3D"/>
              <w:bottom w:val="single" w:sz="8" w:color="A13D3D"/>
              <w:right w:val="single" w:sz="8" w:color="A13D3D"/>
            </w:tcBorders>
            <w:vAlign w:val="top"/>
          </w:tcPr>
          <w:p>
            <w:pPr>
              <w:spacing w:line="240" w:lineRule="auto"/>
            </w:pPr>
            <w:r>
              <w:rPr>
                <w:rFonts w:ascii="Arial" w:hAnsi="Arial"/>
                <w:b/>
                <w:color w:val="A13D3D"/>
                <w:sz w:val="21"/>
              </w:rPr>
              <w:t>Concluzie de metodă</w:t>
            </w:r>
          </w:p>
          <w:p>
            <w:pPr>
              <w:spacing w:after="0" w:line="240" w:lineRule="auto"/>
            </w:pPr>
            <w:r>
              <w:rPr>
                <w:rFonts w:ascii="Arial" w:hAnsi="Arial"/>
              </w:rPr>
              <w:t>7 Cărări este în acest moment un model original, aliniat cu principii consacrate, dar nevalidat ca intervenție distinctă. Poate fi descris drept «evidence-informed» sau «aliniat practicilor recomandate», nu drept program cu eficacitate demonstrată, până la pilotare și evaluare.</w:t>
            </w:r>
          </w:p>
        </w:tc>
      </w:tr>
    </w:tbl>
    <w:p>
      <w:pPr>
        <w:spacing w:after="20"/>
      </w:pPr>
    </w:p>
    <w:p>
      <w:pPr>
        <w:pStyle w:val="Heading2"/>
        <w:keepNext/>
      </w:pPr>
      <w:r>
        <w:t>0.3. Cum va fi împărțită revizuirea completă</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1247"/>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Parte</w:t>
            </w:r>
          </w:p>
        </w:tc>
        <w:tc>
          <w:tcPr>
            <w:tcW w:type="dxa" w:w="8164"/>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Conținut</w:t>
            </w:r>
          </w:p>
        </w:tc>
      </w:tr>
      <w:tr>
        <w:tc>
          <w:tcPr>
            <w:tcW w:type="dxa" w:w="124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I</w:t>
            </w:r>
          </w:p>
        </w:tc>
        <w:tc>
          <w:tcPr>
            <w:tcW w:type="dxa" w:w="816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fundamentul strategic și clinic, capitolele 0-5</w:t>
            </w:r>
          </w:p>
        </w:tc>
      </w:tr>
      <w:tr>
        <w:tc>
          <w:tcPr>
            <w:tcW w:type="dxa" w:w="124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7"/>
              </w:rPr>
              <w:t>II</w:t>
            </w:r>
          </w:p>
        </w:tc>
        <w:tc>
          <w:tcPr>
            <w:tcW w:type="dxa" w:w="816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7"/>
              </w:rPr>
              <w:t>parcursul pacientului și procedura fiecărei cărări, capitolele 6-7</w:t>
            </w:r>
          </w:p>
        </w:tc>
      </w:tr>
      <w:tr>
        <w:tc>
          <w:tcPr>
            <w:tcW w:type="dxa" w:w="124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III</w:t>
            </w:r>
          </w:p>
        </w:tc>
        <w:tc>
          <w:tcPr>
            <w:tcW w:type="dxa" w:w="816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siguranță, chatbot, grupuri și director, capitolele 8-11</w:t>
            </w:r>
          </w:p>
        </w:tc>
      </w:tr>
      <w:tr>
        <w:tc>
          <w:tcPr>
            <w:tcW w:type="dxa" w:w="124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7"/>
              </w:rPr>
              <w:t>IV</w:t>
            </w:r>
          </w:p>
        </w:tc>
        <w:tc>
          <w:tcPr>
            <w:tcW w:type="dxa" w:w="816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7"/>
              </w:rPr>
              <w:t>fluxuri, guvernanță, arhitectură, date și reglementare, capitolele 12-16</w:t>
            </w:r>
          </w:p>
        </w:tc>
      </w:tr>
      <w:tr>
        <w:tc>
          <w:tcPr>
            <w:tcW w:type="dxa" w:w="124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V</w:t>
            </w:r>
          </w:p>
        </w:tc>
        <w:tc>
          <w:tcPr>
            <w:tcW w:type="dxa" w:w="816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MVP, dezvoltare, pilot, rezultate, comercializare, operațiuni și anexe</w:t>
            </w:r>
          </w:p>
        </w:tc>
      </w:tr>
    </w:tbl>
    <w:p>
      <w:pPr>
        <w:spacing w:after="20"/>
      </w:pPr>
    </w:p>
    <w:p>
      <w:pPr>
        <w:pStyle w:val="Heading1"/>
        <w:keepNext/>
        <w:pageBreakBefore/>
      </w:pPr>
      <w:r>
        <w:t>A. Auditul critic al versiunii existente</w:t>
      </w:r>
    </w:p>
    <w:p>
      <w:pPr>
        <w:pStyle w:val="Heading2"/>
        <w:keepNext/>
      </w:pPr>
      <w:r>
        <w:t>A.1. Elemente care merită păstrate</w:t>
      </w:r>
    </w:p>
    <w:p>
      <w:pPr>
        <w:pStyle w:val="ListBullet"/>
        <w:spacing w:after="60"/>
      </w:pPr>
      <w:r>
        <w:rPr>
          <w:b/>
        </w:rPr>
        <w:t xml:space="preserve">Limita față de EHR: </w:t>
      </w:r>
      <w:r>
        <w:t>produsul nu încearcă să înlocuiască dosarul medical în MVP.</w:t>
      </w:r>
    </w:p>
    <w:p>
      <w:pPr>
        <w:pStyle w:val="ListBullet"/>
        <w:spacing w:after="60"/>
      </w:pPr>
      <w:r>
        <w:rPr>
          <w:b/>
        </w:rPr>
        <w:t xml:space="preserve">Cele patru suprafețe: </w:t>
      </w:r>
      <w:r>
        <w:t>Care, Companion, Network și Studio oferă o împărțire coerentă a experiențelor.</w:t>
      </w:r>
    </w:p>
    <w:p>
      <w:pPr>
        <w:pStyle w:val="ListBullet"/>
        <w:spacing w:after="60"/>
      </w:pPr>
      <w:r>
        <w:rPr>
          <w:b/>
        </w:rPr>
        <w:t xml:space="preserve">Succesiunea dezvoltării: </w:t>
      </w:r>
      <w:r>
        <w:t>protocolul și pilotul preced comercializarea largă.</w:t>
      </w:r>
    </w:p>
    <w:p>
      <w:pPr>
        <w:pStyle w:val="ListBullet"/>
        <w:spacing w:after="60"/>
      </w:pPr>
      <w:r>
        <w:rPr>
          <w:b/>
        </w:rPr>
        <w:t xml:space="preserve">Accentul pe continuitate: </w:t>
      </w:r>
      <w:r>
        <w:t>produsul este gândit pentru perioada dintre sesiuni și după externare.</w:t>
      </w:r>
    </w:p>
    <w:p>
      <w:pPr>
        <w:pStyle w:val="ListBullet"/>
        <w:spacing w:after="60"/>
      </w:pPr>
      <w:r>
        <w:rPr>
          <w:b/>
        </w:rPr>
        <w:t xml:space="preserve">Alegerea pacientului: </w:t>
      </w:r>
      <w:r>
        <w:t>cărarea se discută împreună cu profesionistul, nu este atribuită de un scor automat.</w:t>
      </w:r>
    </w:p>
    <w:p>
      <w:pPr>
        <w:pStyle w:val="ListBullet"/>
        <w:spacing w:after="60"/>
      </w:pPr>
      <w:r>
        <w:rPr>
          <w:b/>
        </w:rPr>
        <w:t xml:space="preserve">Separarea chatbotului: </w:t>
      </w:r>
      <w:r>
        <w:t>aplicația nu este prezentată ca psihoterapeut autonom.</w:t>
      </w:r>
    </w:p>
    <w:p>
      <w:pPr>
        <w:pStyle w:val="Heading2"/>
        <w:keepNext/>
      </w:pPr>
      <w:r>
        <w:t>A.2. Corecții majore necesare</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Problemă</w:t>
            </w:r>
          </w:p>
        </w:tc>
        <w:tc>
          <w:tcPr>
            <w:tcW w:type="dxa" w:w="345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De ce contează</w:t>
            </w:r>
          </w:p>
        </w:tc>
        <w:tc>
          <w:tcPr>
            <w:tcW w:type="dxa" w:w="391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Corecția</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1. Categoria produsului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«Produs clinic vandabil» este prea larg și poate crea pretenții nevalidate.</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Definește-l ca platformă de recovery management și coordonare a îngrijirii, cu module clinice delimitate.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2. Modelul de găzduire</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«SaaS clinic» fixează prematur arhitectura și poate contrazice direcția local-first a Psinaptic.</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Folosește un model de produs independent de deployment: SaaS, instanță dedicată sau integrare locală ulterioară.</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3. Statutul dovezilor</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Textul nu distinge suficient principiile validate de taxonomia originală a celor șapte cărări.</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Introdu o hartă explicită: evidence-aligned versus original de validat.</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4. Populația inițială</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Produsul pare destinat tuturor adicțiilor și tuturor pacienților.</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Definește primul wedge: adulți cu tulburare de consum de alcool, clinic stabili, după evaluare/sevraj.</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5. Rolul pacientului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Pacientul este descris ca nefiind clientul principal.</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Separă cumpărătorul economic de beneficiarul și utilizatorul central.</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6. Alegerea cărării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Nu este suficient de clar că alegerea nu stabilește nivelul de îngrijire.</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Pune evaluarea de siguranță și nivel de îngrijire înaintea alegerii.</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7. Scorurile hărții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Cuvântul «scor» sugerează validare psihometrică.</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Redenumește-le axe conversaționale; valorile numerice sunt opționale și exploratorii.</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8. Readiness to change</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Este tratată implicit ca variabilă separată.</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În ASAM 4, disponibilitatea și preferințele sunt integrate în evaluarea person-centered, nu folosite singure pentru nivelul de îngrijire.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9. Eficacitatea digitală</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Textul poate lăsa impresia că aplicația produce rezultate prin simpla utilizare.</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Formulează ipoteze de produs și rezultate de testat, nu promisiuni.</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10. Comorbidități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Sunt menționate, dar nu devin constrângere de design.</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Include explicit integrated dual-diagnosis și interdicția traseelor mono-diagnostice.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11. Spiritualitatea</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Poate fi percepută ca domeniu obligatoriu sau echivalent clinic.</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Clarifică alegerea complet voluntară și alternativa seculară bazată pe valori și sens.</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12. Obiectivul consumului</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Nu este formulată relația dintre abstinență, reducerea riscurilor și obiectivul individual.</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Stochează explicit obiectivul, cu prioritatea siguranței și a recomandării clinice.</w:t>
            </w:r>
          </w:p>
        </w:tc>
      </w:tr>
    </w:tbl>
    <w:p>
      <w:pPr>
        <w:spacing w:after="20"/>
      </w:pPr>
    </w:p>
    <w:p>
      <w:pPr>
        <w:pStyle w:val="Heading2"/>
        <w:keepNext/>
      </w:pPr>
      <w:r>
        <w:t>A.3. Afirmații care trebuie evitate înainte de validare</w:t>
      </w:r>
    </w:p>
    <w:p>
      <w:pPr>
        <w:pStyle w:val="ListBullet"/>
        <w:spacing w:after="60"/>
      </w:pPr>
      <w:r>
        <w:t>«7 Cărări este o metodă dovedită de recuperare.»</w:t>
      </w:r>
    </w:p>
    <w:p>
      <w:pPr>
        <w:pStyle w:val="ListBullet"/>
        <w:spacing w:after="60"/>
      </w:pPr>
      <w:r>
        <w:t>«Aplicația previne recăderea.»</w:t>
      </w:r>
    </w:p>
    <w:p>
      <w:pPr>
        <w:pStyle w:val="ListBullet"/>
        <w:spacing w:after="60"/>
      </w:pPr>
      <w:r>
        <w:t>«Scorul identifică cea mai bună cale pentru pacient.»</w:t>
      </w:r>
    </w:p>
    <w:p>
      <w:pPr>
        <w:pStyle w:val="ListBullet"/>
        <w:spacing w:after="60"/>
      </w:pPr>
      <w:r>
        <w:t>«Chatbotul detectează sigur crizele.»</w:t>
      </w:r>
    </w:p>
    <w:p>
      <w:pPr>
        <w:pStyle w:val="ListBullet"/>
        <w:spacing w:after="60"/>
      </w:pPr>
      <w:r>
        <w:t>«Programul este o alternativă la AA, psihoterapie sau tratamentul medical.»</w:t>
      </w:r>
    </w:p>
    <w:p>
      <w:pPr>
        <w:pStyle w:val="ListBullet"/>
        <w:spacing w:after="60"/>
      </w:pPr>
      <w:r>
        <w:t>«Un singur cont oferă automat continuitate clinică între toți furnizorii.»</w:t>
      </w:r>
    </w:p>
    <w:tbl>
      <w:tblPr>
        <w:tblW w:type="auto" w:w="0"/>
        <w:jc w:val="center"/>
        <w:tblLayout w:type="fixed"/>
        <w:tblLook w:firstColumn="1" w:firstRow="1" w:lastColumn="0" w:lastRow="0" w:noHBand="0" w:noVBand="1" w:val="04A0"/>
      </w:tblPr>
      <w:tblGrid>
        <w:gridCol w:w="9638"/>
      </w:tblGrid>
      <w:tr>
        <w:tc>
          <w:tcPr>
            <w:tcW w:type="dxa" w:w="9411"/>
            <w:shd w:fill="FAF4E4"/>
            <w:tcMar>
              <w:top w:w="130" w:type="dxa"/>
              <w:start w:w="150" w:type="dxa"/>
              <w:bottom w:w="130" w:type="dxa"/>
              <w:end w:w="150" w:type="dxa"/>
            </w:tcMar>
            <w:tcBorders>
              <w:top w:val="single" w:sz="8" w:color="B8892E"/>
              <w:left w:val="single" w:sz="8" w:color="B8892E"/>
              <w:bottom w:val="single" w:sz="8" w:color="B8892E"/>
              <w:right w:val="single" w:sz="8" w:color="B8892E"/>
            </w:tcBorders>
            <w:vAlign w:val="top"/>
          </w:tcPr>
          <w:p>
            <w:pPr>
              <w:spacing w:line="240" w:lineRule="auto"/>
            </w:pPr>
            <w:r>
              <w:rPr>
                <w:rFonts w:ascii="Arial" w:hAnsi="Arial"/>
                <w:b/>
                <w:color w:val="B8892E"/>
                <w:sz w:val="21"/>
              </w:rPr>
              <w:t>Formulare sigură</w:t>
            </w:r>
          </w:p>
          <w:p>
            <w:pPr>
              <w:spacing w:after="0" w:line="240" w:lineRule="auto"/>
            </w:pPr>
            <w:r>
              <w:rPr>
                <w:rFonts w:ascii="Arial" w:hAnsi="Arial"/>
              </w:rPr>
              <w:t>7 Cărări operationalizează un model original de planificare a recuperării, construit din componente compatibile cu abordările person-centered, strengths-based, multidimensionale și de continuitate a îngrijirii. Eficacitatea modelului integrat trebuie evaluată.</w:t>
            </w:r>
          </w:p>
        </w:tc>
      </w:tr>
    </w:tbl>
    <w:p>
      <w:pPr>
        <w:spacing w:after="20"/>
      </w:pPr>
    </w:p>
    <w:p>
      <w:pPr>
        <w:pStyle w:val="Heading2"/>
        <w:keepNext/>
      </w:pPr>
      <w:r>
        <w:t>A.4. Baza de dovezi versus inovația proprie</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3969"/>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Element</w:t>
            </w:r>
          </w:p>
        </w:tc>
        <w:tc>
          <w:tcPr>
            <w:tcW w:type="dxa" w:w="2494"/>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Statut</w:t>
            </w:r>
          </w:p>
        </w:tc>
        <w:tc>
          <w:tcPr>
            <w:tcW w:type="dxa" w:w="283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Implicație</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Multiple căi, speranță, puncte forte, sănătate, locuire, scop și comunitate</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consacrat ca principiu de recuperare</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SAMHSA; UTC</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Evaluare multidimensională, person-centered și repetată</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consacrat ca standard de evaluare și planificare</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ASAM 4</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Tratament etic, bazat pe dovezi și adaptat nevoilor</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consacrat</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WHO/UNODC; NIDA</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Engaging, focusing, evoking, planning</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proces consacrat al interviului motivațional</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Levounis et al.</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Continuitate, case management și legătura cu resursele comunitare</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susținut ca model de servicii</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UTC; EUDA</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Integrarea adicției cu tulburările psihice</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consacrată ca necesitate clinică</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ASAM; Chambers &amp; Masterson</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Exact șapte cărări și denumirile lor</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model original</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necesită validare de conținut și utilizabilitate</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Alegerea unei cărări principale și a două de sprijin</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procedură originală</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necesită pilotare</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Axele Nevoie, Interes, Resurse, Fezabilitate</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instrument original de conversație</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nu trebuie prezentat ca scală validată</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Ritmul 7, 30 și 90 de zile</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design operațional original</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necesită testare</w:t>
            </w:r>
          </w:p>
        </w:tc>
      </w:tr>
      <w:tr>
        <w:tc>
          <w:tcPr>
            <w:tcW w:type="dxa" w:w="396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Matchingul serviciilor și chatbotul</w:t>
            </w:r>
          </w:p>
        </w:tc>
        <w:tc>
          <w:tcPr>
            <w:tcW w:type="dxa" w:w="249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funcții de produs</w:t>
            </w:r>
          </w:p>
        </w:tc>
        <w:tc>
          <w:tcPr>
            <w:tcW w:type="dxa" w:w="28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necesită validare de siguranță și impact</w:t>
            </w:r>
          </w:p>
        </w:tc>
      </w:tr>
    </w:tbl>
    <w:p>
      <w:pPr>
        <w:spacing w:after="20"/>
      </w:pPr>
    </w:p>
    <w:p>
      <w:pPr>
        <w:pStyle w:val="Heading1"/>
        <w:keepNext/>
        <w:pageBreakBefore/>
      </w:pPr>
      <w:r>
        <w:t>B. Text revizuit, pregătit pentru documentul master</w:t>
      </w:r>
    </w:p>
    <w:p>
      <w:pPr>
        <w:pStyle w:val="Heading1"/>
        <w:keepNext/>
      </w:pPr>
      <w:r>
        <w:t>Notă privind utilizarea documentului</w:t>
      </w:r>
    </w:p>
    <w:p>
      <w:r>
        <w:rPr>
          <w:i w:val="0"/>
        </w:rPr>
        <w:t>Acest document descrie strategia de produs, modelul operațional și ipotezele clinice pentru dezvoltarea aplicației 7 Cărări. El nu reprezintă protocol medical aprobat, aviz juridic, opinie de clasificare MDR, evaluare clinică sau documentație de conformitate.</w:t>
      </w:r>
    </w:p>
    <w:p>
      <w:r>
        <w:rPr>
          <w:i w:val="0"/>
        </w:rPr>
        <w:t>7 Cărări este un model original de organizare a recuperării. Modelul utilizează principii compatibile cu abordările person-centered, strengths-based, multidimensionale, orientate spre continuitate și recuperare, dar combinația celor șapte cărări, procedura de alegere și instrumentele digitale nu sunt încă validate ca intervenție distinctă.</w:t>
      </w:r>
    </w:p>
    <w:p>
      <w:r>
        <w:rPr>
          <w:i w:val="0"/>
        </w:rPr>
        <w:t>Înaintea folosirii cu pacienți reali sunt necesare: definirea scopului declarat al fiecărui modul, revizuirea clinică multidisciplinară, evaluarea juridică și de protecție a datelor, testarea utilizabilității, protocolul de siguranță și un pilot controlat.</w:t>
      </w:r>
    </w:p>
    <w:tbl>
      <w:tblPr>
        <w:tblW w:type="auto" w:w="0"/>
        <w:jc w:val="center"/>
        <w:tblLayout w:type="fixed"/>
        <w:tblLook w:firstColumn="1" w:firstRow="1" w:lastColumn="0" w:lastRow="0" w:noHBand="0" w:noVBand="1" w:val="04A0"/>
      </w:tblPr>
      <w:tblGrid>
        <w:gridCol w:w="9638"/>
      </w:tblGrid>
      <w:tr>
        <w:tc>
          <w:tcPr>
            <w:tcW w:type="dxa" w:w="9411"/>
            <w:shd w:fill="FBEDEE"/>
            <w:tcMar>
              <w:top w:w="130" w:type="dxa"/>
              <w:start w:w="150" w:type="dxa"/>
              <w:bottom w:w="130" w:type="dxa"/>
              <w:end w:w="150" w:type="dxa"/>
            </w:tcMar>
            <w:tcBorders>
              <w:top w:val="single" w:sz="8" w:color="A13D3D"/>
              <w:left w:val="single" w:sz="8" w:color="A13D3D"/>
              <w:bottom w:val="single" w:sz="8" w:color="A13D3D"/>
              <w:right w:val="single" w:sz="8" w:color="A13D3D"/>
            </w:tcBorders>
            <w:vAlign w:val="top"/>
          </w:tcPr>
          <w:p>
            <w:pPr>
              <w:spacing w:line="240" w:lineRule="auto"/>
            </w:pPr>
            <w:r>
              <w:rPr>
                <w:rFonts w:ascii="Arial" w:hAnsi="Arial"/>
                <w:b/>
                <w:color w:val="A13D3D"/>
                <w:sz w:val="21"/>
              </w:rPr>
              <w:t>Regulă privind dovezile</w:t>
            </w:r>
          </w:p>
          <w:p>
            <w:pPr>
              <w:spacing w:after="0" w:line="240" w:lineRule="auto"/>
            </w:pPr>
            <w:r>
              <w:rPr>
                <w:rFonts w:ascii="Arial" w:hAnsi="Arial"/>
              </w:rPr>
              <w:t>Produsul poate fi descris ca evidence-informed. Nu va fi comercializat ca metodă cu eficacitate demonstrată până când rezultatele proprii nu susțin o asemenea afirmație.</w:t>
            </w:r>
          </w:p>
        </w:tc>
      </w:tr>
    </w:tbl>
    <w:p>
      <w:pPr>
        <w:spacing w:after="20"/>
      </w:pPr>
    </w:p>
    <w:tbl>
      <w:tblPr>
        <w:tblW w:type="auto" w:w="0"/>
        <w:jc w:val="center"/>
        <w:tblLayout w:type="fixed"/>
        <w:tblLook w:firstColumn="1" w:firstRow="1" w:lastColumn="0" w:lastRow="0" w:noHBand="0" w:noVBand="1" w:val="04A0"/>
      </w:tblPr>
      <w:tblGrid>
        <w:gridCol w:w="9638"/>
      </w:tblGrid>
      <w:tr>
        <w:tc>
          <w:tcPr>
            <w:tcW w:type="dxa" w:w="9411"/>
            <w:shd w:fill="F4F6F8"/>
            <w:tcMar>
              <w:top w:w="130" w:type="dxa"/>
              <w:start w:w="150" w:type="dxa"/>
              <w:bottom w:w="130" w:type="dxa"/>
              <w:end w:w="150" w:type="dxa"/>
            </w:tcMar>
            <w:tcBorders>
              <w:top w:val="single" w:sz="8" w:color="183247"/>
              <w:left w:val="single" w:sz="8" w:color="183247"/>
              <w:bottom w:val="single" w:sz="8" w:color="183247"/>
              <w:right w:val="single" w:sz="8" w:color="183247"/>
            </w:tcBorders>
            <w:vAlign w:val="top"/>
          </w:tcPr>
          <w:p>
            <w:pPr>
              <w:spacing w:line="240" w:lineRule="auto"/>
            </w:pPr>
            <w:r>
              <w:rPr>
                <w:rFonts w:ascii="Arial" w:hAnsi="Arial"/>
                <w:b/>
                <w:color w:val="183247"/>
                <w:sz w:val="21"/>
              </w:rPr>
              <w:t>Regulă privind proprietatea intelectuală</w:t>
            </w:r>
          </w:p>
          <w:p>
            <w:pPr>
              <w:spacing w:after="0" w:line="240" w:lineRule="auto"/>
            </w:pPr>
            <w:r>
              <w:rPr>
                <w:rFonts w:ascii="Arial" w:hAnsi="Arial"/>
              </w:rPr>
              <w:t>Cărțile și manualele sunt surse de documentare. Nu vor fi reproduse în aplicație chestionare, handout-uri, algoritmi sau texte protejate fără permisiune. Materialele comerciale vor fi originale, licențiate sau bazate pe surse care permit reutilizarea.</w:t>
            </w:r>
          </w:p>
        </w:tc>
      </w:tr>
    </w:tbl>
    <w:p>
      <w:pPr>
        <w:spacing w:after="20"/>
      </w:pPr>
    </w:p>
    <w:p>
      <w:pPr>
        <w:pStyle w:val="Heading1"/>
        <w:keepNext/>
      </w:pPr>
      <w:r>
        <w:t>1. Rezumat executiv</w:t>
      </w:r>
    </w:p>
    <w:p>
      <w:pPr>
        <w:pStyle w:val="Heading2"/>
        <w:keepNext/>
      </w:pPr>
      <w:r>
        <w:t>1.1. Teza produsului</w:t>
      </w:r>
    </w:p>
    <w:p>
      <w:r>
        <w:rPr>
          <w:i w:val="0"/>
        </w:rPr>
        <w:t>7 Cărări trebuie construit ca o platformă de recovery management și coordonare a serviciilor pentru adicții. Produsul transformă un plan general de recuperare într-un traseu colaborativ, vizibil și revizuibil: siguranță, evaluare multidimensională, alegerea domeniilor prioritare, obiective, activități, servicii, grupuri, check-inuri și reevaluare.</w:t>
      </w:r>
    </w:p>
    <w:p>
      <w:r>
        <w:rPr>
          <w:i w:val="0"/>
        </w:rPr>
        <w:t>Aplicația nu înlocuiește diagnosticul, stabilirea nivelului de îngrijire, managementul sevrajului, tratamentul medical sau psihoterapia. Ea oferă infrastructura prin care aceste componente pot fi organizate în jurul pacientului și continuate între întâlniri.</w:t>
      </w:r>
    </w:p>
    <w:p>
      <w:pPr>
        <w:pStyle w:val="Heading2"/>
        <w:keepNext/>
      </w:pPr>
      <w:r>
        <w:t>1.2. Populația inițială recomandată</w:t>
      </w:r>
    </w:p>
    <w:tbl>
      <w:tblPr>
        <w:tblW w:type="auto" w:w="0"/>
        <w:jc w:val="center"/>
        <w:tblLayout w:type="fixed"/>
        <w:tblLook w:firstColumn="1" w:firstRow="1" w:lastColumn="0" w:lastRow="0" w:noHBand="0" w:noVBand="1" w:val="04A0"/>
      </w:tblPr>
      <w:tblGrid>
        <w:gridCol w:w="9638"/>
      </w:tblGrid>
      <w:tr>
        <w:tc>
          <w:tcPr>
            <w:tcW w:type="dxa" w:w="9411"/>
            <w:shd w:fill="FAF4E4"/>
            <w:tcMar>
              <w:top w:w="130" w:type="dxa"/>
              <w:start w:w="150" w:type="dxa"/>
              <w:bottom w:w="130" w:type="dxa"/>
              <w:end w:w="150" w:type="dxa"/>
            </w:tcMar>
            <w:tcBorders>
              <w:top w:val="single" w:sz="8" w:color="B8892E"/>
              <w:left w:val="single" w:sz="8" w:color="B8892E"/>
              <w:bottom w:val="single" w:sz="8" w:color="B8892E"/>
              <w:right w:val="single" w:sz="8" w:color="B8892E"/>
            </w:tcBorders>
            <w:vAlign w:val="top"/>
          </w:tcPr>
          <w:p>
            <w:pPr>
              <w:spacing w:line="240" w:lineRule="auto"/>
            </w:pPr>
            <w:r>
              <w:rPr>
                <w:rFonts w:ascii="Arial" w:hAnsi="Arial"/>
                <w:b/>
                <w:color w:val="B8892E"/>
                <w:sz w:val="21"/>
              </w:rPr>
              <w:t>Beachhead clinic</w:t>
            </w:r>
          </w:p>
          <w:p>
            <w:pPr>
              <w:spacing w:after="0" w:line="240" w:lineRule="auto"/>
            </w:pPr>
            <w:r>
              <w:rPr>
                <w:rFonts w:ascii="Arial" w:hAnsi="Arial"/>
              </w:rPr>
              <w:t>Prima versiune clinică va fi proiectată pentru adulți cu tulburare legată de consumul de alcool, clinic stabili, după evaluare medicală și, când este cazul, după managementul sevrajului. Această alegere permite un protocol coerent, un pilot realist și o evaluare clară a rezultatelor.</w:t>
            </w:r>
          </w:p>
        </w:tc>
      </w:tr>
    </w:tbl>
    <w:p>
      <w:pPr>
        <w:spacing w:after="20"/>
      </w:pPr>
    </w:p>
    <w:p>
      <w:r>
        <w:rPr>
          <w:i w:val="0"/>
        </w:rPr>
        <w:t>Extinderea la opioide, sedative, stimulente, policonsum, joc patologic, adolescenți, sarcină și alte populații se va face prin protocoale separate, nu prin simpla reutilizare a aceluiași onboarding.</w:t>
      </w:r>
    </w:p>
    <w:p>
      <w:pPr>
        <w:pStyle w:val="Heading2"/>
        <w:keepNext/>
      </w:pPr>
      <w:r>
        <w:t>1.3. Produsul în patru suprafețe</w:t>
      </w:r>
    </w:p>
    <w:tbl>
      <w:tblPr>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1757"/>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Suprafață</w:t>
            </w:r>
          </w:p>
        </w:tc>
        <w:tc>
          <w:tcPr>
            <w:tcW w:type="dxa" w:w="19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Utilizator</w:t>
            </w:r>
          </w:p>
        </w:tc>
        <w:tc>
          <w:tcPr>
            <w:tcW w:type="dxa" w:w="300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Funcția principală</w:t>
            </w:r>
          </w:p>
        </w:tc>
        <w:tc>
          <w:tcPr>
            <w:tcW w:type="dxa" w:w="272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Limită</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7 Cărări Care</w:t>
            </w:r>
          </w:p>
        </w:tc>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clinician, coordonator, facilitator</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evaluare de program, plan, revizuiri, grupuri și colaborare</w:t>
            </w:r>
          </w:p>
        </w:tc>
        <w:tc>
          <w:tcPr>
            <w:tcW w:type="dxa" w:w="272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nu înlocuiește EHR-ul sau decizia clinică</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7 Cărări Companion</w:t>
            </w:r>
          </w:p>
        </w:tc>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pacient</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plan personal, check-inuri, materiale, jurnal, grupuri și contacte</w:t>
            </w:r>
          </w:p>
        </w:tc>
        <w:tc>
          <w:tcPr>
            <w:tcW w:type="dxa" w:w="272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nu este serviciu de urgență sau terapeut autonom</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7 Cărări Network</w:t>
            </w:r>
          </w:p>
        </w:tc>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clinici și profesioniști verificați</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servicii, eligibilitate, disponibilitate și trimiteri</w:t>
            </w:r>
          </w:p>
        </w:tc>
        <w:tc>
          <w:tcPr>
            <w:tcW w:type="dxa" w:w="272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nu confundă promovarea cu potrivirea clinică</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7 Cărări Studio</w:t>
            </w:r>
          </w:p>
        </w:tc>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organizație și echipa produsului</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conținut, programe, roluri, audit și rapoarte</w:t>
            </w:r>
          </w:p>
        </w:tc>
        <w:tc>
          <w:tcPr>
            <w:tcW w:type="dxa" w:w="272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nu oferă CMS-ului acces implicit la date clinice</w:t>
            </w:r>
          </w:p>
        </w:tc>
      </w:tr>
    </w:tbl>
    <w:p>
      <w:pPr>
        <w:spacing w:after="20"/>
      </w:pPr>
    </w:p>
    <w:p>
      <w:pPr>
        <w:pStyle w:val="Heading2"/>
        <w:keepNext/>
      </w:pPr>
      <w:r>
        <w:t>1.4. Cumpărător, utilizator și beneficiar</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26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Rol economic / operațional</w:t>
            </w:r>
          </w:p>
        </w:tc>
        <w:tc>
          <w:tcPr>
            <w:tcW w:type="dxa" w:w="260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Cine</w:t>
            </w:r>
          </w:p>
        </w:tc>
        <w:tc>
          <w:tcPr>
            <w:tcW w:type="dxa" w:w="453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Ce trebuie optimizat</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Cumpărător inițial</w:t>
            </w:r>
          </w:p>
        </w:tc>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clinica sau profesionistul</w:t>
            </w:r>
          </w:p>
        </w:tc>
        <w:tc>
          <w:tcPr>
            <w:tcW w:type="dxa" w:w="45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implementare, cost, risc, rezultate și integrare în flux</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Utilizator profesional</w:t>
            </w:r>
          </w:p>
        </w:tc>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clinicianul și facilitatorul</w:t>
            </w:r>
          </w:p>
        </w:tc>
        <w:tc>
          <w:tcPr>
            <w:tcW w:type="dxa" w:w="45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timp redus, claritate, responsabilități și documentare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Utilizator central</w:t>
            </w:r>
          </w:p>
        </w:tc>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pacientul</w:t>
            </w:r>
          </w:p>
        </w:tc>
        <w:tc>
          <w:tcPr>
            <w:tcW w:type="dxa" w:w="45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autonomie, înțelegere, accesibilitate și sprijin fără stigmatizare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Beneficiar secundar</w:t>
            </w:r>
          </w:p>
        </w:tc>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familia autorizată</w:t>
            </w:r>
          </w:p>
        </w:tc>
        <w:tc>
          <w:tcPr>
            <w:tcW w:type="dxa" w:w="453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educație, limite și rol clar</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Partener de rețea</w:t>
            </w:r>
          </w:p>
        </w:tc>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furnizorul extern</w:t>
            </w:r>
          </w:p>
        </w:tc>
        <w:tc>
          <w:tcPr>
            <w:tcW w:type="dxa" w:w="453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trimitere relevantă și informație minimă</w:t>
            </w:r>
          </w:p>
        </w:tc>
      </w:tr>
    </w:tbl>
    <w:p>
      <w:pPr>
        <w:spacing w:after="20"/>
      </w:pPr>
    </w:p>
    <w:p>
      <w:r>
        <w:rPr>
          <w:i w:val="0"/>
        </w:rPr>
        <w:t>Pacientul este beneficiarul și utilizatorul central al produsului, chiar dacă plata este realizată inițial de o clinică sau de un profesionist.</w:t>
      </w:r>
    </w:p>
    <w:p>
      <w:pPr>
        <w:pStyle w:val="Heading2"/>
        <w:keepNext/>
      </w:pPr>
      <w:r>
        <w:t>1.5. Problemele pe care produsul trebuie să le rezolve</w:t>
      </w:r>
    </w:p>
    <w:p>
      <w:pPr>
        <w:pStyle w:val="ListBullet"/>
        <w:spacing w:after="60"/>
      </w:pPr>
      <w:r>
        <w:rPr>
          <w:b/>
        </w:rPr>
        <w:t xml:space="preserve">Pentru pacient: </w:t>
      </w:r>
      <w:r>
        <w:t>să transforme intenția de schimbare într-un plan ușor de înțeles, negociat și susținut.</w:t>
      </w:r>
    </w:p>
    <w:p>
      <w:pPr>
        <w:pStyle w:val="ListBullet"/>
        <w:spacing w:after="60"/>
      </w:pPr>
      <w:r>
        <w:rPr>
          <w:b/>
        </w:rPr>
        <w:t xml:space="preserve">Pentru clinician: </w:t>
      </w:r>
      <w:r>
        <w:t>să ofere o imagine comună asupra riscurilor, obiectivelor, participării și serviciilor, fără a crea un al doilea dosar medical complet.</w:t>
      </w:r>
    </w:p>
    <w:p>
      <w:pPr>
        <w:pStyle w:val="ListBullet"/>
        <w:spacing w:after="60"/>
      </w:pPr>
      <w:r>
        <w:rPr>
          <w:b/>
        </w:rPr>
        <w:t xml:space="preserve">Pentru clinică: </w:t>
      </w:r>
      <w:r>
        <w:t>să standardizeze un program de recuperare, să urmărească implementarea și să demonstreze activitatea și rezultatele.</w:t>
      </w:r>
    </w:p>
    <w:p>
      <w:pPr>
        <w:pStyle w:val="ListBullet"/>
        <w:spacing w:after="60"/>
      </w:pPr>
      <w:r>
        <w:rPr>
          <w:b/>
        </w:rPr>
        <w:t xml:space="preserve">Pentru practicianul individual: </w:t>
      </w:r>
      <w:r>
        <w:t>să ofere infrastructură de program, materiale și colaborare fără o echipă IT proprie.</w:t>
      </w:r>
    </w:p>
    <w:p>
      <w:pPr>
        <w:pStyle w:val="ListBullet"/>
        <w:spacing w:after="60"/>
      </w:pPr>
      <w:r>
        <w:rPr>
          <w:b/>
        </w:rPr>
        <w:t xml:space="preserve">Pentru rețea: </w:t>
      </w:r>
      <w:r>
        <w:t>să transforme nevoile în categorii de servicii și trimiteri explicabile.</w:t>
      </w:r>
    </w:p>
    <w:p>
      <w:pPr>
        <w:pStyle w:val="Heading2"/>
        <w:keepNext/>
      </w:pPr>
      <w:r>
        <w:t>1.6. Ipotezele care trebuie testate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1134"/>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Ipoteză</w:t>
            </w:r>
          </w:p>
        </w:tc>
        <w:tc>
          <w:tcPr>
            <w:tcW w:type="dxa" w:w="8277"/>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Ce urmează să fie demonstrat</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H1</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pacienții înțeleg mai bine planul când acesta este organizat în cărări și pași mici</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7"/>
              </w:rPr>
              <w:t>H2</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7"/>
              </w:rPr>
              <w:t>alegerea colaborativă crește participarea față de atribuirea unilaterală</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H3</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check-inurile scurte și materialele atribuite cresc continuitatea între întâlniri</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7"/>
              </w:rPr>
              <w:t>H4</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7"/>
              </w:rPr>
              <w:t>coordonarea serviciilor reduce timpul până la accesarea intervenției potrivite</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7"/>
              </w:rPr>
              <w:t>H5</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7"/>
              </w:rPr>
              <w:t>dashboardul comun reduce fragmentarea și sarcinile uitate</w:t>
            </w:r>
          </w:p>
        </w:tc>
      </w:tr>
      <w:tr>
        <w:tc>
          <w:tcPr>
            <w:tcW w:type="dxa" w:w="1134"/>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7"/>
              </w:rPr>
              <w:t>H6</w:t>
            </w:r>
          </w:p>
        </w:tc>
        <w:tc>
          <w:tcPr>
            <w:tcW w:type="dxa" w:w="827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7"/>
              </w:rPr>
              <w:t>limbajul non-punitiv facilitează revenirea după alunecare</w:t>
            </w:r>
          </w:p>
        </w:tc>
      </w:tr>
    </w:tbl>
    <w:p>
      <w:pPr>
        <w:spacing w:after="20"/>
      </w:pPr>
    </w:p>
    <w:p>
      <w:pPr>
        <w:pStyle w:val="Heading2"/>
        <w:keepNext/>
      </w:pPr>
      <w:r>
        <w:t>1.7. Ce nu intră în MVP</w:t>
      </w:r>
    </w:p>
    <w:p>
      <w:pPr>
        <w:pStyle w:val="ListBullet"/>
        <w:spacing w:after="60"/>
      </w:pPr>
      <w:r>
        <w:t>dosar electronic medical complet;</w:t>
      </w:r>
    </w:p>
    <w:p>
      <w:pPr>
        <w:pStyle w:val="ListBullet"/>
        <w:spacing w:after="60"/>
      </w:pPr>
      <w:r>
        <w:t>evaluare automată a nivelului de îngrijire;</w:t>
      </w:r>
    </w:p>
    <w:p>
      <w:pPr>
        <w:pStyle w:val="ListBullet"/>
        <w:spacing w:after="60"/>
      </w:pPr>
      <w:r>
        <w:t>prescriere sau recomandări automate de tratament;</w:t>
      </w:r>
    </w:p>
    <w:p>
      <w:pPr>
        <w:pStyle w:val="ListBullet"/>
        <w:spacing w:after="60"/>
      </w:pPr>
      <w:r>
        <w:t>detoxifiere ori management autonom al sevrajului;</w:t>
      </w:r>
    </w:p>
    <w:p>
      <w:pPr>
        <w:pStyle w:val="ListBullet"/>
        <w:spacing w:after="60"/>
      </w:pPr>
      <w:r>
        <w:t>monitorizare umană permanentă;</w:t>
      </w:r>
    </w:p>
    <w:p>
      <w:pPr>
        <w:pStyle w:val="ListBullet"/>
        <w:spacing w:after="60"/>
      </w:pPr>
      <w:r>
        <w:t>psihoterapie autonomă prin chatbot;</w:t>
      </w:r>
    </w:p>
    <w:p>
      <w:pPr>
        <w:pStyle w:val="ListBullet"/>
        <w:spacing w:after="60"/>
      </w:pPr>
      <w:r>
        <w:t>scoruri proprietare prezentate ca instrumente validate;</w:t>
      </w:r>
    </w:p>
    <w:p>
      <w:pPr>
        <w:pStyle w:val="ListBullet"/>
        <w:spacing w:after="60"/>
      </w:pPr>
      <w:r>
        <w:t>marketplace public deschis înaintea verificării profesioniștilor;</w:t>
      </w:r>
    </w:p>
    <w:p>
      <w:pPr>
        <w:pStyle w:val="ListBullet"/>
        <w:spacing w:after="60"/>
      </w:pPr>
      <w:r>
        <w:t>toate adicțiile și toate grupele de vârstă;</w:t>
      </w:r>
    </w:p>
    <w:p>
      <w:pPr>
        <w:pStyle w:val="ListBullet"/>
        <w:spacing w:after="60"/>
      </w:pPr>
      <w:r>
        <w:t>integrare profundă cu sisteme externe înaintea validării fluxului principal.</w:t>
      </w:r>
    </w:p>
    <w:p>
      <w:pPr>
        <w:pStyle w:val="Heading2"/>
        <w:keepNext/>
      </w:pPr>
      <w:r>
        <w:t>1.8. Ordinea de dezvoltare</w:t>
      </w:r>
    </w:p>
    <w:tbl>
      <w:tblPr>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c>
          <w:tcPr>
            <w:tcW w:type="dxa" w:w="1344"/>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1</w:t>
              <w:br/>
            </w:r>
            <w:r>
              <w:rPr>
                <w:rFonts w:ascii="Arial" w:hAnsi="Arial"/>
                <w:sz w:val="16"/>
              </w:rPr>
              <w:t>Protocol</w:t>
            </w:r>
          </w:p>
        </w:tc>
        <w:tc>
          <w:tcPr>
            <w:tcW w:type="dxa" w:w="1344"/>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2</w:t>
              <w:br/>
            </w:r>
            <w:r>
              <w:rPr>
                <w:rFonts w:ascii="Arial" w:hAnsi="Arial"/>
                <w:sz w:val="16"/>
              </w:rPr>
              <w:t>Prototip</w:t>
            </w:r>
          </w:p>
        </w:tc>
        <w:tc>
          <w:tcPr>
            <w:tcW w:type="dxa" w:w="1344"/>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3</w:t>
              <w:br/>
            </w:r>
            <w:r>
              <w:rPr>
                <w:rFonts w:ascii="Arial" w:hAnsi="Arial"/>
                <w:sz w:val="16"/>
              </w:rPr>
              <w:t>MVP</w:t>
            </w:r>
          </w:p>
        </w:tc>
        <w:tc>
          <w:tcPr>
            <w:tcW w:type="dxa" w:w="1344"/>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4</w:t>
              <w:br/>
            </w:r>
            <w:r>
              <w:rPr>
                <w:rFonts w:ascii="Arial" w:hAnsi="Arial"/>
                <w:sz w:val="16"/>
              </w:rPr>
              <w:t>Simulare</w:t>
            </w:r>
          </w:p>
        </w:tc>
        <w:tc>
          <w:tcPr>
            <w:tcW w:type="dxa" w:w="1344"/>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5</w:t>
              <w:br/>
            </w:r>
            <w:r>
              <w:rPr>
                <w:rFonts w:ascii="Arial" w:hAnsi="Arial"/>
                <w:sz w:val="16"/>
              </w:rPr>
              <w:t>Pilot</w:t>
            </w:r>
          </w:p>
        </w:tc>
        <w:tc>
          <w:tcPr>
            <w:tcW w:type="dxa" w:w="1344"/>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6</w:t>
              <w:br/>
            </w:r>
            <w:r>
              <w:rPr>
                <w:rFonts w:ascii="Arial" w:hAnsi="Arial"/>
                <w:sz w:val="16"/>
              </w:rPr>
              <w:t>Validare</w:t>
            </w:r>
          </w:p>
        </w:tc>
        <w:tc>
          <w:tcPr>
            <w:tcW w:type="dxa" w:w="1344"/>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7</w:t>
              <w:br/>
            </w:r>
            <w:r>
              <w:rPr>
                <w:rFonts w:ascii="Arial" w:hAnsi="Arial"/>
                <w:sz w:val="16"/>
              </w:rPr>
              <w:t>Comercializare</w:t>
            </w:r>
          </w:p>
        </w:tc>
      </w:tr>
    </w:tbl>
    <w:p>
      <w:pPr>
        <w:spacing w:after="40"/>
      </w:pPr>
    </w:p>
    <w:p>
      <w:r>
        <w:rPr>
          <w:i w:val="0"/>
        </w:rPr>
        <w:t>Rețeaua publică de specialiști se dezvoltă după validarea programului de bază. Directorul este un canal de acces, nu nucleul clinic al produsului.</w:t>
      </w:r>
    </w:p>
    <w:p>
      <w:pPr>
        <w:pStyle w:val="Heading1"/>
        <w:keepNext/>
      </w:pPr>
      <w:r>
        <w:t>2. Decizia strategică recomandată</w:t>
      </w:r>
    </w:p>
    <w:p>
      <w:pPr>
        <w:pStyle w:val="Heading2"/>
        <w:keepNext/>
      </w:pPr>
      <w:r>
        <w:t>2.1. Categoria de produs</w:t>
      </w:r>
    </w:p>
    <w:p>
      <w:r>
        <w:rPr>
          <w:i w:val="0"/>
        </w:rPr>
        <w:t>7 Cărări va fi lansat ca platformă digitală de recovery management, continuitate și coordonare a serviciilor. În funcție de configurație, unele module pot rămâne educaționale și administrative, iar altele pot avea un scop medical. Aceste module trebuie delimitate prin scop declarat, utilizatori, date, ieșiri și responsabilități.</w:t>
      </w:r>
    </w:p>
    <w:tbl>
      <w:tblPr>
        <w:tblW w:type="auto" w:w="0"/>
        <w:jc w:val="center"/>
        <w:tblLayout w:type="fixed"/>
        <w:tblLook w:firstColumn="1" w:firstRow="1" w:lastColumn="0" w:lastRow="0" w:noHBand="0" w:noVBand="1" w:val="04A0"/>
      </w:tblPr>
      <w:tblGrid>
        <w:gridCol w:w="9638"/>
      </w:tblGrid>
      <w:tr>
        <w:tc>
          <w:tcPr>
            <w:tcW w:type="dxa" w:w="9411"/>
            <w:shd w:fill="FBEDEE"/>
            <w:tcMar>
              <w:top w:w="130" w:type="dxa"/>
              <w:start w:w="150" w:type="dxa"/>
              <w:bottom w:w="130" w:type="dxa"/>
              <w:end w:w="150" w:type="dxa"/>
            </w:tcMar>
            <w:tcBorders>
              <w:top w:val="single" w:sz="8" w:color="A13D3D"/>
              <w:left w:val="single" w:sz="8" w:color="A13D3D"/>
              <w:bottom w:val="single" w:sz="8" w:color="A13D3D"/>
              <w:right w:val="single" w:sz="8" w:color="A13D3D"/>
            </w:tcBorders>
            <w:vAlign w:val="top"/>
          </w:tcPr>
          <w:p>
            <w:pPr>
              <w:spacing w:line="240" w:lineRule="auto"/>
            </w:pPr>
            <w:r>
              <w:rPr>
                <w:rFonts w:ascii="Arial" w:hAnsi="Arial"/>
                <w:b/>
                <w:color w:val="A13D3D"/>
                <w:sz w:val="21"/>
              </w:rPr>
              <w:t>Nu folosi o etichetă unică pentru toate modulele</w:t>
            </w:r>
          </w:p>
          <w:p>
            <w:pPr>
              <w:spacing w:after="0" w:line="240" w:lineRule="auto"/>
            </w:pPr>
            <w:r>
              <w:rPr>
                <w:rFonts w:ascii="Arial" w:hAnsi="Arial"/>
              </w:rPr>
              <w:t>Directorul, biblioteca și reminder-ele nu au același profil de risc cu evaluarea, alertele și planul utilizat în tratament. Arhitectura, marketingul și documentația trebuie să păstreze această diferență.</w:t>
            </w:r>
          </w:p>
        </w:tc>
      </w:tr>
    </w:tbl>
    <w:p>
      <w:pPr>
        <w:spacing w:after="20"/>
      </w:pPr>
    </w:p>
    <w:p>
      <w:pPr>
        <w:pStyle w:val="Heading2"/>
        <w:keepNext/>
      </w:pPr>
      <w:r>
        <w:t>2.2. Modelul de deployment</w:t>
      </w:r>
    </w:p>
    <w:p>
      <w:r>
        <w:rPr>
          <w:i w:val="0"/>
        </w:rPr>
        <w:t>Strategia de produs trebuie să rămână independentă de o singură formă de găzduire. Versiunea inițială poate utiliza un serviciu găzduit pentru cabinete și clinici mici, cu date minimizate și separare multi-tenant. Pentru instituții mai mari se vor putea oferi instanțe dedicate, private cloud sau integrare ulterioară cu Psinaptic local-first.</w:t>
      </w:r>
    </w:p>
    <w:tbl>
      <w:tblPr>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1757"/>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Variantă</w:t>
            </w:r>
          </w:p>
        </w:tc>
        <w:tc>
          <w:tcPr>
            <w:tcW w:type="dxa" w:w="209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Client</w:t>
            </w:r>
          </w:p>
        </w:tc>
        <w:tc>
          <w:tcPr>
            <w:tcW w:type="dxa" w:w="255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Avantaj</w:t>
            </w:r>
          </w:p>
        </w:tc>
        <w:tc>
          <w:tcPr>
            <w:tcW w:type="dxa" w:w="300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Condiție</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SaaS comun</w:t>
            </w:r>
          </w:p>
        </w:tc>
        <w:tc>
          <w:tcPr>
            <w:tcW w:type="dxa" w:w="209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solo și clinici mici</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onboarding rapid și cost redus</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izolare, audit și contracte adecvate</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Instanță dedicată</w:t>
            </w:r>
          </w:p>
        </w:tc>
        <w:tc>
          <w:tcPr>
            <w:tcW w:type="dxa" w:w="209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clinici medii</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control și configurare mai mare</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cost operațional superior</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Private cloud</w:t>
            </w:r>
          </w:p>
        </w:tc>
        <w:tc>
          <w:tcPr>
            <w:tcW w:type="dxa" w:w="209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rețele și furnizori mari</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integrare și guvernanță proprie</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proiect de implementare</w:t>
            </w:r>
          </w:p>
        </w:tc>
      </w:tr>
      <w:tr>
        <w:tc>
          <w:tcPr>
            <w:tcW w:type="dxa" w:w="1757"/>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Modul Psinaptic</w:t>
            </w:r>
          </w:p>
        </w:tc>
        <w:tc>
          <w:tcPr>
            <w:tcW w:type="dxa" w:w="209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spitale</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suveranitate și integrare cu dosarul local</w:t>
            </w:r>
          </w:p>
        </w:tc>
        <w:tc>
          <w:tcPr>
            <w:tcW w:type="dxa" w:w="300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fază ulterioară</w:t>
            </w:r>
          </w:p>
        </w:tc>
      </w:tr>
    </w:tbl>
    <w:p>
      <w:pPr>
        <w:spacing w:after="20"/>
      </w:pPr>
    </w:p>
    <w:p>
      <w:pPr>
        <w:pStyle w:val="Heading2"/>
        <w:keepNext/>
      </w:pPr>
      <w:r>
        <w:t>2.3. Sursa de adevăr</w:t>
      </w:r>
    </w:p>
    <w:p>
      <w:r>
        <w:rPr>
          <w:i w:val="0"/>
        </w:rPr>
        <w:t>În varianta standalone, 7 Cărări este sursa de adevăr numai pentru datele programului: înscriere, cărări, obiective, activități, participare, consimțăminte, alerte și rezultate definite. Dosarul medical complet rămâne în sistemul clinic al furnizorului.</w:t>
      </w:r>
    </w:p>
    <w:p>
      <w:r>
        <w:rPr>
          <w:i w:val="0"/>
        </w:rPr>
        <w:t>Datele de program sunt tot date de sănătate și nu trebuie descrise drept date «neclinice» doar pentru că sunt mai puține. Minimizarea reduce riscul, dar nu elimină obligațiile de confidențialitate, securitate și guvernanță.</w:t>
      </w:r>
    </w:p>
    <w:p>
      <w:pPr>
        <w:pStyle w:val="Heading2"/>
        <w:keepNext/>
      </w:pPr>
      <w:r>
        <w:t>2.4. Trei moduri de utilizare</w:t>
      </w:r>
    </w:p>
    <w:tbl>
      <w:tblPr>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19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Mod</w:t>
            </w:r>
          </w:p>
        </w:tc>
        <w:tc>
          <w:tcPr>
            <w:tcW w:type="dxa" w:w="226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Supraveghere</w:t>
            </w:r>
          </w:p>
        </w:tc>
        <w:tc>
          <w:tcPr>
            <w:tcW w:type="dxa" w:w="255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Potrivit pentru</w:t>
            </w:r>
          </w:p>
        </w:tc>
        <w:tc>
          <w:tcPr>
            <w:tcW w:type="dxa" w:w="266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Funcții excluse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Clinical Program</w:t>
            </w:r>
          </w:p>
        </w:tc>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clinician coordonator</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clinici și cazuri active</w:t>
            </w:r>
          </w:p>
        </w:tc>
        <w:tc>
          <w:tcPr>
            <w:tcW w:type="dxa" w:w="266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autoevaluare fără revizuire, promisiuni automate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Guided Recovery</w:t>
            </w:r>
          </w:p>
        </w:tc>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profesionist calificat</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ambulatoriu și practicieni individuali</w:t>
            </w:r>
          </w:p>
        </w:tc>
        <w:tc>
          <w:tcPr>
            <w:tcW w:type="dxa" w:w="266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managementul cazurilor acute</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Educational Self-Guided</w:t>
            </w:r>
          </w:p>
        </w:tc>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fără monitorizare clinică</w:t>
            </w:r>
          </w:p>
        </w:tc>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informare și orientare publică</w:t>
            </w:r>
          </w:p>
        </w:tc>
        <w:tc>
          <w:tcPr>
            <w:tcW w:type="dxa" w:w="266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alerte clinice, plan de tratament, note clinice</w:t>
            </w:r>
          </w:p>
        </w:tc>
      </w:tr>
    </w:tbl>
    <w:p>
      <w:pPr>
        <w:spacing w:after="20"/>
      </w:pPr>
    </w:p>
    <w:p>
      <w:r>
        <w:rPr>
          <w:i w:val="0"/>
        </w:rPr>
        <w:t>Interfața trebuie să indice permanent în ce mod se află utilizatorul și dacă există sau nu o persoană responsabilă de revizuirea răspunsurilor.</w:t>
      </w:r>
    </w:p>
    <w:p>
      <w:pPr>
        <w:pStyle w:val="Heading2"/>
        <w:keepNext/>
      </w:pPr>
      <w:r>
        <w:t>2.5. Relația cu Psinaptic</w:t>
      </w:r>
    </w:p>
    <w:p>
      <w:r>
        <w:rPr>
          <w:i w:val="0"/>
        </w:rPr>
        <w:t>Integrarea ulterioară nu presupune că Psinaptic trebuie reconstruit în cloud. Psinaptic Clinic rămâne nucleul local-first pentru date clinice, iar 7 Cărări poate deveni: un modul local al programului, un Companion online cu date publicate explicit sau un serviciu conectat prin API.</w:t>
      </w:r>
    </w:p>
    <w:p>
      <w:pPr>
        <w:pStyle w:val="ListBullet"/>
        <w:spacing w:after="60"/>
      </w:pPr>
      <w:r>
        <w:t>identificatori externi separați de CNP;</w:t>
      </w:r>
    </w:p>
    <w:p>
      <w:pPr>
        <w:pStyle w:val="ListBullet"/>
        <w:spacing w:after="60"/>
      </w:pPr>
      <w:r>
        <w:t>evenimente versionate și idempotente;</w:t>
      </w:r>
    </w:p>
    <w:p>
      <w:pPr>
        <w:pStyle w:val="ListBullet"/>
        <w:spacing w:after="60"/>
      </w:pPr>
      <w:r>
        <w:t>publicarea explicită a materialelor și planurilor către pacient;</w:t>
      </w:r>
    </w:p>
    <w:p>
      <w:pPr>
        <w:pStyle w:val="ListBullet"/>
        <w:spacing w:after="60"/>
      </w:pPr>
      <w:r>
        <w:t>fără acces arbitrar din cloud la baza clinică locală;</w:t>
      </w:r>
    </w:p>
    <w:p>
      <w:pPr>
        <w:pStyle w:val="ListBullet"/>
        <w:spacing w:after="60"/>
      </w:pPr>
      <w:r>
        <w:t>audit pentru fiecare transfer.</w:t>
      </w:r>
    </w:p>
    <w:p>
      <w:pPr>
        <w:pStyle w:val="Heading2"/>
        <w:keepNext/>
      </w:pPr>
      <w:r>
        <w:t>2.6. De ce această variantă este vandabilă</w:t>
      </w:r>
    </w:p>
    <w:p>
      <w:pPr>
        <w:pStyle w:val="ListBullet"/>
        <w:spacing w:after="60"/>
      </w:pPr>
      <w:r>
        <w:t>nu cere migrarea dosarelor existente;</w:t>
      </w:r>
    </w:p>
    <w:p>
      <w:pPr>
        <w:pStyle w:val="ListBullet"/>
        <w:spacing w:after="60"/>
      </w:pPr>
      <w:r>
        <w:t>poate fi adoptată de o echipă clinică deja formată;</w:t>
      </w:r>
    </w:p>
    <w:p>
      <w:pPr>
        <w:pStyle w:val="ListBullet"/>
        <w:spacing w:after="60"/>
      </w:pPr>
      <w:r>
        <w:t>rezolvă un flux clar, continuitatea recuperării;</w:t>
      </w:r>
    </w:p>
    <w:p>
      <w:pPr>
        <w:pStyle w:val="ListBullet"/>
        <w:spacing w:after="60"/>
      </w:pPr>
      <w:r>
        <w:t>poate fi testată pe o populație restrânsă;</w:t>
      </w:r>
    </w:p>
    <w:p>
      <w:pPr>
        <w:pStyle w:val="ListBullet"/>
        <w:spacing w:after="60"/>
      </w:pPr>
      <w:r>
        <w:t>permite licențiere organizațională și individuală;</w:t>
      </w:r>
    </w:p>
    <w:p>
      <w:pPr>
        <w:pStyle w:val="ListBullet"/>
        <w:spacing w:after="60"/>
      </w:pPr>
      <w:r>
        <w:t>poate fi integrată ulterior fără a rescrie modelul clinic;</w:t>
      </w:r>
    </w:p>
    <w:p>
      <w:pPr>
        <w:pStyle w:val="ListBullet"/>
        <w:spacing w:after="60"/>
      </w:pPr>
      <w:r>
        <w:t>creează date de implementare și rezultate utile pentru finanțare și comercializare.</w:t>
      </w:r>
    </w:p>
    <w:p>
      <w:pPr>
        <w:pStyle w:val="Heading2"/>
        <w:keepNext/>
      </w:pPr>
      <w:r>
        <w:t>2.7. Limite nenegociabile</w:t>
      </w:r>
    </w:p>
    <w:p>
      <w:pPr>
        <w:pStyle w:val="ListBullet"/>
        <w:spacing w:after="60"/>
      </w:pPr>
      <w:r>
        <w:t>siguranța și nivelul de îngrijire preced alegerea cărării;</w:t>
      </w:r>
    </w:p>
    <w:p>
      <w:pPr>
        <w:pStyle w:val="ListBullet"/>
        <w:spacing w:after="60"/>
      </w:pPr>
      <w:r>
        <w:t>niciun scor proprietar nu stabilește singur diagnosticul, tratamentul sau riscul;</w:t>
      </w:r>
    </w:p>
    <w:p>
      <w:pPr>
        <w:pStyle w:val="ListBullet"/>
        <w:spacing w:after="60"/>
      </w:pPr>
      <w:r>
        <w:t>chatbotul nu este terapeut și nu promite monitorizare permanentă;</w:t>
      </w:r>
    </w:p>
    <w:p>
      <w:pPr>
        <w:pStyle w:val="ListBullet"/>
        <w:spacing w:after="60"/>
      </w:pPr>
      <w:r>
        <w:t>spiritualitatea este voluntară și are alternativă seculară;</w:t>
      </w:r>
    </w:p>
    <w:p>
      <w:pPr>
        <w:pStyle w:val="ListBullet"/>
        <w:spacing w:after="60"/>
      </w:pPr>
      <w:r>
        <w:t>alunecarea nu declanșează sancțiuni sau pierderea accesului;</w:t>
      </w:r>
    </w:p>
    <w:p>
      <w:pPr>
        <w:pStyle w:val="ListBullet"/>
        <w:spacing w:after="60"/>
      </w:pPr>
      <w:r>
        <w:t>promovarea plătită nu influențează recomandarea clinică;</w:t>
      </w:r>
    </w:p>
    <w:p>
      <w:pPr>
        <w:pStyle w:val="ListBullet"/>
        <w:spacing w:after="60"/>
      </w:pPr>
      <w:r>
        <w:t>datele nu sunt reutilizate pentru antrenarea AI fără bază separată și explicită.</w:t>
      </w:r>
    </w:p>
    <w:p>
      <w:pPr>
        <w:pStyle w:val="Heading1"/>
        <w:keepNext/>
      </w:pPr>
      <w:r>
        <w:t>3. Definiția produsului standalone</w:t>
      </w:r>
    </w:p>
    <w:p>
      <w:pPr>
        <w:pStyle w:val="Heading2"/>
        <w:keepNext/>
      </w:pPr>
      <w:r>
        <w:t>3.1. Definiție scurtă</w:t>
      </w:r>
    </w:p>
    <w:p>
      <w:r>
        <w:rPr>
          <w:i w:val="0"/>
        </w:rPr>
        <w:t>7 Cărări este o platformă digitală care ajută profesioniștii și pacienții să construiască, să livreze și să revizuiască un plan multidimensional de recuperare în adicții, cu legături către servicii clinice, psihologice, sociale, comunitare și ocupaționale.</w:t>
      </w:r>
    </w:p>
    <w:p>
      <w:pPr>
        <w:pStyle w:val="Heading2"/>
        <w:keepNext/>
      </w:pPr>
      <w:r>
        <w:t>3.2. Job-ul principal al produsului</w:t>
      </w:r>
    </w:p>
    <w:tbl>
      <w:tblPr>
        <w:tblW w:type="auto" w:w="0"/>
        <w:jc w:val="center"/>
        <w:tblLayout w:type="fixed"/>
        <w:tblLook w:firstColumn="1" w:firstRow="1" w:lastColumn="0" w:lastRow="0" w:noHBand="0" w:noVBand="1" w:val="04A0"/>
      </w:tblPr>
      <w:tblGrid>
        <w:gridCol w:w="9638"/>
      </w:tblGrid>
      <w:tr>
        <w:tc>
          <w:tcPr>
            <w:tcW w:type="dxa" w:w="9411"/>
            <w:shd w:fill="FAF4E4"/>
            <w:tcMar>
              <w:top w:w="130" w:type="dxa"/>
              <w:start w:w="150" w:type="dxa"/>
              <w:bottom w:w="130" w:type="dxa"/>
              <w:end w:w="150" w:type="dxa"/>
            </w:tcMar>
            <w:tcBorders>
              <w:top w:val="single" w:sz="8" w:color="B8892E"/>
              <w:left w:val="single" w:sz="8" w:color="B8892E"/>
              <w:bottom w:val="single" w:sz="8" w:color="B8892E"/>
              <w:right w:val="single" w:sz="8" w:color="B8892E"/>
            </w:tcBorders>
            <w:vAlign w:val="top"/>
          </w:tcPr>
          <w:p>
            <w:pPr>
              <w:spacing w:line="240" w:lineRule="auto"/>
            </w:pPr>
            <w:r>
              <w:rPr>
                <w:rFonts w:ascii="Arial" w:hAnsi="Arial"/>
                <w:b/>
                <w:color w:val="B8892E"/>
                <w:sz w:val="21"/>
              </w:rPr>
              <w:t>Job to be done</w:t>
            </w:r>
          </w:p>
          <w:p>
            <w:pPr>
              <w:spacing w:after="0" w:line="240" w:lineRule="auto"/>
            </w:pPr>
            <w:r>
              <w:rPr>
                <w:rFonts w:ascii="Arial" w:hAnsi="Arial"/>
              </w:rPr>
              <w:t>Când pacientul trece din evaluare sau stabilizare în recuperarea de zi cu zi, echipa are nevoie de un mod simplu de a transforma recomandările într-un plan comun, de a vedea ce s-a întâmplat între întâlniri și de a conecta rapid nevoile neacoperite cu servicii potrivite.</w:t>
            </w:r>
          </w:p>
        </w:tc>
      </w:tr>
    </w:tbl>
    <w:p>
      <w:pPr>
        <w:spacing w:after="20"/>
      </w:pPr>
    </w:p>
    <w:p>
      <w:pPr>
        <w:pStyle w:val="Heading2"/>
        <w:keepNext/>
      </w:pPr>
      <w:r>
        <w:t>3.3. Obiective operaționale</w:t>
      </w:r>
    </w:p>
    <w:p>
      <w:pPr>
        <w:pStyle w:val="ListBullet"/>
        <w:spacing w:after="60"/>
      </w:pPr>
      <w:r>
        <w:t>facilitarea formulării comune a planului;</w:t>
      </w:r>
    </w:p>
    <w:p>
      <w:pPr>
        <w:pStyle w:val="ListBullet"/>
        <w:spacing w:after="60"/>
      </w:pPr>
      <w:r>
        <w:t>transformarea obiectivelor în acțiuni mici și verificabile;</w:t>
      </w:r>
    </w:p>
    <w:p>
      <w:pPr>
        <w:pStyle w:val="ListBullet"/>
        <w:spacing w:after="60"/>
      </w:pPr>
      <w:r>
        <w:t>susținerea continuității și a reangajării rapide;</w:t>
      </w:r>
    </w:p>
    <w:p>
      <w:pPr>
        <w:pStyle w:val="ListBullet"/>
        <w:spacing w:after="60"/>
      </w:pPr>
      <w:r>
        <w:t>reducerea fragmentării dintre profesioniști și servicii;</w:t>
      </w:r>
    </w:p>
    <w:p>
      <w:pPr>
        <w:pStyle w:val="ListBullet"/>
        <w:spacing w:after="60"/>
      </w:pPr>
      <w:r>
        <w:t>vizibilitatea asupra participării și barierelor;</w:t>
      </w:r>
    </w:p>
    <w:p>
      <w:pPr>
        <w:pStyle w:val="ListBullet"/>
        <w:spacing w:after="60"/>
      </w:pPr>
      <w:r>
        <w:t>orientarea spre puncte forte și resurse;</w:t>
      </w:r>
    </w:p>
    <w:p>
      <w:pPr>
        <w:pStyle w:val="ListBullet"/>
        <w:spacing w:after="60"/>
      </w:pPr>
      <w:r>
        <w:t>colectarea rezultatelor relevante pentru pacient și serviciu;</w:t>
      </w:r>
    </w:p>
    <w:p>
      <w:pPr>
        <w:pStyle w:val="ListBullet"/>
        <w:spacing w:after="60"/>
      </w:pPr>
      <w:r>
        <w:t>documentarea responsabilităților și a escaladărilor.</w:t>
      </w:r>
    </w:p>
    <w:p>
      <w:pPr>
        <w:pStyle w:val="Heading2"/>
        <w:keepNext/>
      </w:pPr>
      <w:r>
        <w:t>3.4. Ce livrează aplicația</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60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Intrare</w:t>
            </w:r>
          </w:p>
        </w:tc>
        <w:tc>
          <w:tcPr>
            <w:tcW w:type="dxa" w:w="334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Proces</w:t>
            </w:r>
          </w:p>
        </w:tc>
        <w:tc>
          <w:tcPr>
            <w:tcW w:type="dxa" w:w="345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Ieșire</w:t>
            </w:r>
          </w:p>
        </w:tc>
      </w:tr>
      <w:tr>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evaluare clinică și preferințe</w:t>
            </w:r>
          </w:p>
        </w:tc>
        <w:tc>
          <w:tcPr>
            <w:tcW w:type="dxa" w:w="334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hartă multidimensională și conversație ghidată</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profil de cărări și obiectiv de recuperare</w:t>
            </w:r>
          </w:p>
        </w:tc>
      </w:tr>
      <w:tr>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servicii și resurse disponibile</w:t>
            </w:r>
          </w:p>
        </w:tc>
        <w:tc>
          <w:tcPr>
            <w:tcW w:type="dxa" w:w="334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matching prin reguli explicite</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plan de servicii și trimiteri</w:t>
            </w:r>
          </w:p>
        </w:tc>
      </w:tr>
      <w:tr>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obiective și bariere</w:t>
            </w:r>
          </w:p>
        </w:tc>
        <w:tc>
          <w:tcPr>
            <w:tcW w:type="dxa" w:w="334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planificare 7/30/90 zile</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sarcini, contacte și date de revizuire</w:t>
            </w:r>
          </w:p>
        </w:tc>
      </w:tr>
      <w:tr>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check-inuri și participare</w:t>
            </w:r>
          </w:p>
        </w:tc>
        <w:tc>
          <w:tcPr>
            <w:tcW w:type="dxa" w:w="334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monitorizare și revizuire umană</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rezumat, ajustări și alerte</w:t>
            </w:r>
          </w:p>
        </w:tc>
      </w:tr>
      <w:tr>
        <w:tc>
          <w:tcPr>
            <w:tcW w:type="dxa" w:w="260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rezultate</w:t>
            </w:r>
          </w:p>
        </w:tc>
        <w:tc>
          <w:tcPr>
            <w:tcW w:type="dxa" w:w="334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analiză individuală și agregată</w:t>
            </w:r>
          </w:p>
        </w:tc>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raport clinic și operațional</w:t>
            </w:r>
          </w:p>
        </w:tc>
      </w:tr>
    </w:tbl>
    <w:p>
      <w:pPr>
        <w:spacing w:after="20"/>
      </w:pPr>
    </w:p>
    <w:p>
      <w:pPr>
        <w:pStyle w:val="Heading2"/>
        <w:keepNext/>
      </w:pPr>
      <w:r>
        <w:t>3.5. Variante comerciale</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Variantă</w:t>
            </w:r>
          </w:p>
        </w:tc>
        <w:tc>
          <w:tcPr>
            <w:tcW w:type="dxa" w:w="294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Cumpărător</w:t>
            </w:r>
          </w:p>
        </w:tc>
        <w:tc>
          <w:tcPr>
            <w:tcW w:type="dxa" w:w="476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Conținut</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Clinic</w:t>
            </w:r>
          </w:p>
        </w:tc>
        <w:tc>
          <w:tcPr>
            <w:tcW w:type="dxa" w:w="294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spital, clinică, centru de recuperare</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echipe, programe, grupuri, pacienți activi, rapoarte și configurare</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Solo</w:t>
            </w:r>
          </w:p>
        </w:tc>
        <w:tc>
          <w:tcPr>
            <w:tcW w:type="dxa" w:w="294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psihiatru, psiholog, psihoterapeut</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program pentru portofoliu mic, Companion, materiale și colaborare</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Network</w:t>
            </w:r>
          </w:p>
        </w:tc>
        <w:tc>
          <w:tcPr>
            <w:tcW w:type="dxa" w:w="294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specialist sau furnizor</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profil verificat, servicii, disponibilitate și trimiteri</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Companion</w:t>
            </w:r>
          </w:p>
        </w:tc>
        <w:tc>
          <w:tcPr>
            <w:tcW w:type="dxa" w:w="294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inclus în program sau oferit public limitat</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plan, materiale, check-inuri, grupuri și controlul accesului</w:t>
            </w:r>
          </w:p>
        </w:tc>
      </w:tr>
    </w:tbl>
    <w:p>
      <w:pPr>
        <w:spacing w:after="20"/>
      </w:pPr>
    </w:p>
    <w:p>
      <w:pPr>
        <w:pStyle w:val="Heading2"/>
        <w:keepNext/>
      </w:pPr>
      <w:r>
        <w:t>3.6. Afirmații comerciale permise și interzise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4649"/>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Permis înainte de validare</w:t>
            </w:r>
          </w:p>
        </w:tc>
        <w:tc>
          <w:tcPr>
            <w:tcW w:type="dxa" w:w="476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Interzis înainte de validare</w:t>
            </w:r>
          </w:p>
        </w:tc>
      </w:tr>
      <w:tr>
        <w:tc>
          <w:tcPr>
            <w:tcW w:type="dxa" w:w="464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program digital structurat pentru recovery management</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program dovedit că reduce recăderile</w:t>
            </w:r>
          </w:p>
        </w:tc>
      </w:tr>
      <w:tr>
        <w:tc>
          <w:tcPr>
            <w:tcW w:type="dxa" w:w="464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aliniat principiilor person-centered și strengths-based</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instrument validat de alegere a tratamentului</w:t>
            </w:r>
          </w:p>
        </w:tc>
      </w:tr>
      <w:tr>
        <w:tc>
          <w:tcPr>
            <w:tcW w:type="dxa" w:w="464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facilitează coordonarea și continuitatea</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detectează automat crizele</w:t>
            </w:r>
          </w:p>
        </w:tc>
      </w:tr>
      <w:tr>
        <w:tc>
          <w:tcPr>
            <w:tcW w:type="dxa" w:w="4649"/>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sprijină formularea comună a obiectivelor</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prescrie cea mai bună cale</w:t>
            </w:r>
          </w:p>
        </w:tc>
      </w:tr>
      <w:tr>
        <w:tc>
          <w:tcPr>
            <w:tcW w:type="dxa" w:w="4649"/>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colectează rezultate și feedback</w:t>
            </w:r>
          </w:p>
        </w:tc>
        <w:tc>
          <w:tcPr>
            <w:tcW w:type="dxa" w:w="476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garantează abstinența sau recuperarea</w:t>
            </w:r>
          </w:p>
        </w:tc>
      </w:tr>
    </w:tbl>
    <w:p>
      <w:pPr>
        <w:spacing w:after="20"/>
      </w:pPr>
    </w:p>
    <w:p>
      <w:pPr>
        <w:pStyle w:val="Heading1"/>
        <w:keepNext/>
      </w:pPr>
      <w:r>
        <w:t>4. Segmente de clienți și propunerea de valoare</w:t>
      </w:r>
    </w:p>
    <w:p>
      <w:pPr>
        <w:pStyle w:val="Heading2"/>
        <w:keepNext/>
      </w:pPr>
      <w:r>
        <w:t>4.1. Segmentul inițial: clinici cu personal existent</w:t>
      </w:r>
    </w:p>
    <w:p>
      <w:r>
        <w:rPr>
          <w:i w:val="0"/>
        </w:rPr>
        <w:t>Clientul ideal inițial este o clinică sau un spital care are profesioniști, dar nu are un program digital comun de continuitate după sevraj sau externare. Produsul nu vinde în primul rând «mai mult personal», ci un sistem de lucru comun.</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43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Problemă</w:t>
            </w:r>
          </w:p>
        </w:tc>
        <w:tc>
          <w:tcPr>
            <w:tcW w:type="dxa" w:w="368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Valoare oferită</w:t>
            </w:r>
          </w:p>
        </w:tc>
        <w:tc>
          <w:tcPr>
            <w:tcW w:type="dxa" w:w="328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Dovadă necesară</w:t>
            </w:r>
          </w:p>
        </w:tc>
      </w:tr>
      <w:tr>
        <w:tc>
          <w:tcPr>
            <w:tcW w:type="dxa" w:w="243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planuri dispersate</w:t>
            </w:r>
          </w:p>
        </w:tc>
        <w:tc>
          <w:tcPr>
            <w:tcW w:type="dxa" w:w="368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program și dashboard comun</w:t>
            </w:r>
          </w:p>
        </w:tc>
        <w:tc>
          <w:tcPr>
            <w:tcW w:type="dxa" w:w="328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reducerea sarcinilor omise</w:t>
            </w:r>
          </w:p>
        </w:tc>
      </w:tr>
      <w:tr>
        <w:tc>
          <w:tcPr>
            <w:tcW w:type="dxa" w:w="243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continuitate slabă</w:t>
            </w:r>
          </w:p>
        </w:tc>
        <w:tc>
          <w:tcPr>
            <w:tcW w:type="dxa" w:w="368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Companion, grupuri și revizuiri</w:t>
            </w:r>
          </w:p>
        </w:tc>
        <w:tc>
          <w:tcPr>
            <w:tcW w:type="dxa" w:w="328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retenție la 30/90 zile</w:t>
            </w:r>
          </w:p>
        </w:tc>
      </w:tr>
      <w:tr>
        <w:tc>
          <w:tcPr>
            <w:tcW w:type="dxa" w:w="243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servicii necoordonate</w:t>
            </w:r>
          </w:p>
        </w:tc>
        <w:tc>
          <w:tcPr>
            <w:tcW w:type="dxa" w:w="368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catalog și trimiteri</w:t>
            </w:r>
          </w:p>
        </w:tc>
        <w:tc>
          <w:tcPr>
            <w:tcW w:type="dxa" w:w="328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timp până la serviciu</w:t>
            </w:r>
          </w:p>
        </w:tc>
      </w:tr>
      <w:tr>
        <w:tc>
          <w:tcPr>
            <w:tcW w:type="dxa" w:w="243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rezultate greu de demonstrat</w:t>
            </w:r>
          </w:p>
        </w:tc>
        <w:tc>
          <w:tcPr>
            <w:tcW w:type="dxa" w:w="368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indicatori standardizați</w:t>
            </w:r>
          </w:p>
        </w:tc>
        <w:tc>
          <w:tcPr>
            <w:tcW w:type="dxa" w:w="328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completitudine și utilitate</w:t>
            </w:r>
          </w:p>
        </w:tc>
      </w:tr>
      <w:tr>
        <w:tc>
          <w:tcPr>
            <w:tcW w:type="dxa" w:w="243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formare inegală</w:t>
            </w:r>
          </w:p>
        </w:tc>
        <w:tc>
          <w:tcPr>
            <w:tcW w:type="dxa" w:w="368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protocol, conținut și onboarding</w:t>
            </w:r>
          </w:p>
        </w:tc>
        <w:tc>
          <w:tcPr>
            <w:tcW w:type="dxa" w:w="328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fidelitatea implementării</w:t>
            </w:r>
          </w:p>
        </w:tc>
      </w:tr>
    </w:tbl>
    <w:p>
      <w:pPr>
        <w:spacing w:after="20"/>
      </w:pPr>
    </w:p>
    <w:p>
      <w:pPr>
        <w:pStyle w:val="Heading2"/>
        <w:keepNext/>
      </w:pPr>
      <w:r>
        <w:t>4.2. Practicieni individuali</w:t>
      </w:r>
    </w:p>
    <w:p>
      <w:r>
        <w:rPr>
          <w:i w:val="0"/>
        </w:rPr>
        <w:t>Pentru practicianul individual, produsul trebuie să fie utilizabil fără administrator IT și fără obligația de a adopta un EHR nou. Valoarea constă în program, materiale, Companion, colaborare și exportul unui rezumat pentru dosarul propriu.</w:t>
      </w:r>
    </w:p>
    <w:p>
      <w:pPr>
        <w:pStyle w:val="ListBullet"/>
        <w:spacing w:after="60"/>
      </w:pPr>
      <w:r>
        <w:t>onboarding ghidat și configurări sigure implicit;</w:t>
      </w:r>
    </w:p>
    <w:p>
      <w:pPr>
        <w:pStyle w:val="ListBullet"/>
        <w:spacing w:after="60"/>
      </w:pPr>
      <w:r>
        <w:t>maximum câteva minute pentru atribuirea planului;</w:t>
      </w:r>
    </w:p>
    <w:p>
      <w:pPr>
        <w:pStyle w:val="ListBullet"/>
        <w:spacing w:after="60"/>
      </w:pPr>
      <w:r>
        <w:t>posibilitatea de a dezactiva funcții pe care nu le poate monitoriza;</w:t>
      </w:r>
    </w:p>
    <w:p>
      <w:pPr>
        <w:pStyle w:val="ListBullet"/>
        <w:spacing w:after="60"/>
      </w:pPr>
      <w:r>
        <w:t>limite clare privind cazurile acute;</w:t>
      </w:r>
    </w:p>
    <w:p>
      <w:pPr>
        <w:pStyle w:val="ListBullet"/>
        <w:spacing w:after="60"/>
      </w:pPr>
      <w:r>
        <w:t>profil verificat în rețea numai după validarea documentelor.</w:t>
      </w:r>
    </w:p>
    <w:p>
      <w:pPr>
        <w:pStyle w:val="Heading2"/>
        <w:keepNext/>
      </w:pPr>
      <w:r>
        <w:t>4.3. Pacienți</w:t>
      </w:r>
    </w:p>
    <w:p>
      <w:r>
        <w:rPr>
          <w:i w:val="0"/>
        </w:rPr>
        <w:t>Pacientul trebuie tratat drept utilizator central și partener al planului, nu drept sursă de date. Experiența trebuie să fie simplă, accesibilă și lipsită de presiune comercială.</w:t>
      </w:r>
    </w:p>
    <w:p>
      <w:pPr>
        <w:pStyle w:val="ListBullet"/>
        <w:spacing w:after="60"/>
      </w:pPr>
      <w:r>
        <w:t>obiective puține și clare;</w:t>
      </w:r>
    </w:p>
    <w:p>
      <w:pPr>
        <w:pStyle w:val="ListBullet"/>
        <w:spacing w:after="60"/>
      </w:pPr>
      <w:r>
        <w:t>explicația motivului pentru fiecare solicitare de date;</w:t>
      </w:r>
    </w:p>
    <w:p>
      <w:pPr>
        <w:pStyle w:val="ListBullet"/>
        <w:spacing w:after="60"/>
      </w:pPr>
      <w:r>
        <w:t>control asupra accesului aparținătorului;</w:t>
      </w:r>
    </w:p>
    <w:p>
      <w:pPr>
        <w:pStyle w:val="ListBullet"/>
        <w:spacing w:after="60"/>
      </w:pPr>
      <w:r>
        <w:t>posibilitatea de a opri reminderele neesențiale;</w:t>
      </w:r>
    </w:p>
    <w:p>
      <w:pPr>
        <w:pStyle w:val="ListBullet"/>
        <w:spacing w:after="60"/>
      </w:pPr>
      <w:r>
        <w:t>limbaj orientat spre revenire după alunecare;</w:t>
      </w:r>
    </w:p>
    <w:p>
      <w:pPr>
        <w:pStyle w:val="ListBullet"/>
        <w:spacing w:after="60"/>
      </w:pPr>
      <w:r>
        <w:t>acces rapid la limitele serviciului și ajutorul de urgență.</w:t>
      </w:r>
    </w:p>
    <w:p>
      <w:pPr>
        <w:pStyle w:val="Heading2"/>
        <w:keepNext/>
      </w:pPr>
      <w:r>
        <w:t>4.4. Familii și aparținători</w:t>
      </w:r>
    </w:p>
    <w:p>
      <w:r>
        <w:rPr>
          <w:i w:val="0"/>
        </w:rPr>
        <w:t>Familia este o resursă posibilă, nu o extensie automată a echipei. Accesul se acordă în funcție de consimțământ, capacitate, obligații legale și siguranță.</w:t>
      </w:r>
    </w:p>
    <w:p>
      <w:pPr>
        <w:pStyle w:val="ListBullet"/>
        <w:spacing w:after="60"/>
      </w:pPr>
      <w:r>
        <w:t>materiale generale fără acces la dosar;</w:t>
      </w:r>
    </w:p>
    <w:p>
      <w:pPr>
        <w:pStyle w:val="ListBullet"/>
        <w:spacing w:after="60"/>
      </w:pPr>
      <w:r>
        <w:t>planuri sau semne de avertizare publicate explicit;</w:t>
      </w:r>
    </w:p>
    <w:p>
      <w:pPr>
        <w:pStyle w:val="ListBullet"/>
        <w:spacing w:after="60"/>
      </w:pPr>
      <w:r>
        <w:t>grupuri proprii pentru aparținători;</w:t>
      </w:r>
    </w:p>
    <w:p>
      <w:pPr>
        <w:pStyle w:val="ListBullet"/>
        <w:spacing w:after="60"/>
      </w:pPr>
      <w:r>
        <w:t>protecție în situații de violență, control sau exploatare;</w:t>
      </w:r>
    </w:p>
    <w:p>
      <w:pPr>
        <w:pStyle w:val="ListBullet"/>
        <w:spacing w:after="60"/>
      </w:pPr>
      <w:r>
        <w:t>revocarea accesului atunci când este posibil.</w:t>
      </w:r>
    </w:p>
    <w:p>
      <w:pPr>
        <w:pStyle w:val="Heading2"/>
        <w:keepNext/>
      </w:pPr>
      <w:r>
        <w:t>4.5. Rețeaua de servicii</w:t>
      </w:r>
    </w:p>
    <w:p>
      <w:r>
        <w:rPr>
          <w:i w:val="0"/>
        </w:rPr>
        <w:t>Rețeaua este o etapă ulterioară și trebuie să pornească închis, cu profesioniști invitați și servicii structurate. Un profil nu este suficient. Fiecare serviciu trebuie să precizeze populația, competența, formatul, limitele, prețul și disponibilitatea.</w:t>
      </w:r>
    </w:p>
    <w:p>
      <w:pPr>
        <w:pStyle w:val="Heading2"/>
        <w:keepNext/>
      </w:pPr>
      <w:r>
        <w:t>4.6. Segmente neincluse în prima fază</w:t>
      </w:r>
    </w:p>
    <w:p>
      <w:pPr>
        <w:pStyle w:val="ListBullet"/>
        <w:spacing w:after="60"/>
      </w:pPr>
      <w:r>
        <w:t>persoane aflate în intoxicație sau sevraj acut care caută tratament exclusiv prin aplicație;</w:t>
      </w:r>
    </w:p>
    <w:p>
      <w:pPr>
        <w:pStyle w:val="ListBullet"/>
        <w:spacing w:after="60"/>
      </w:pPr>
      <w:r>
        <w:t>minori, până la existența unui protocol și model de consimțământ dedicat;</w:t>
      </w:r>
    </w:p>
    <w:p>
      <w:pPr>
        <w:pStyle w:val="ListBullet"/>
        <w:spacing w:after="60"/>
      </w:pPr>
      <w:r>
        <w:t>urgențe psihiatrice;</w:t>
      </w:r>
    </w:p>
    <w:p>
      <w:pPr>
        <w:pStyle w:val="ListBullet"/>
        <w:spacing w:after="60"/>
      </w:pPr>
      <w:r>
        <w:t>furnizori neverificați;</w:t>
      </w:r>
    </w:p>
    <w:p>
      <w:pPr>
        <w:pStyle w:val="ListBullet"/>
        <w:spacing w:after="60"/>
      </w:pPr>
      <w:r>
        <w:t>angajatori care solicită date individuale despre tratament;</w:t>
      </w:r>
    </w:p>
    <w:p>
      <w:pPr>
        <w:pStyle w:val="ListBullet"/>
        <w:spacing w:after="60"/>
      </w:pPr>
      <w:r>
        <w:t>utilizatori care caută recomandări medicamentoase automate.</w:t>
      </w:r>
    </w:p>
    <w:p>
      <w:pPr>
        <w:pStyle w:val="Heading1"/>
        <w:keepNext/>
      </w:pPr>
      <w:r>
        <w:t>5. Modelul clinic 7 Cărări</w:t>
      </w:r>
    </w:p>
    <w:p>
      <w:pPr>
        <w:pStyle w:val="Heading2"/>
        <w:keepNext/>
      </w:pPr>
      <w:r>
        <w:t>5.1. Poziționarea clinică</w:t>
      </w:r>
    </w:p>
    <w:p>
      <w:r>
        <w:rPr>
          <w:i w:val="0"/>
        </w:rPr>
        <w:t>7 Cărări este un cadru de formulare și recovery planning. Nu este criteriu de diagnostic, instrument de evaluare a nivelului de îngrijire sau protocol complet pentru o substanță. Evaluarea clinică și stabilirea nivelului de îngrijire se realizează prin standardele și instrumentele adecvate organizației.</w:t>
      </w:r>
    </w:p>
    <w:tbl>
      <w:tblPr>
        <w:tblW w:type="auto" w:w="0"/>
        <w:jc w:val="center"/>
        <w:tblLayout w:type="fixed"/>
        <w:tblLook w:firstColumn="1" w:firstRow="1" w:lastColumn="0" w:lastRow="0" w:noHBand="0" w:noVBand="1" w:val="04A0"/>
      </w:tblPr>
      <w:tblGrid>
        <w:gridCol w:w="9638"/>
      </w:tblGrid>
      <w:tr>
        <w:tc>
          <w:tcPr>
            <w:tcW w:type="dxa" w:w="9411"/>
            <w:shd w:fill="FBEDEE"/>
            <w:tcMar>
              <w:top w:w="130" w:type="dxa"/>
              <w:start w:w="150" w:type="dxa"/>
              <w:bottom w:w="130" w:type="dxa"/>
              <w:end w:w="150" w:type="dxa"/>
            </w:tcMar>
            <w:tcBorders>
              <w:top w:val="single" w:sz="8" w:color="A13D3D"/>
              <w:left w:val="single" w:sz="8" w:color="A13D3D"/>
              <w:bottom w:val="single" w:sz="8" w:color="A13D3D"/>
              <w:right w:val="single" w:sz="8" w:color="A13D3D"/>
            </w:tcBorders>
            <w:vAlign w:val="top"/>
          </w:tcPr>
          <w:p>
            <w:pPr>
              <w:spacing w:line="240" w:lineRule="auto"/>
            </w:pPr>
            <w:r>
              <w:rPr>
                <w:rFonts w:ascii="Arial" w:hAnsi="Arial"/>
                <w:b/>
                <w:color w:val="A13D3D"/>
                <w:sz w:val="21"/>
              </w:rPr>
              <w:t>Relația cu ASAM</w:t>
            </w:r>
          </w:p>
          <w:p>
            <w:pPr>
              <w:spacing w:after="0" w:line="240" w:lineRule="auto"/>
            </w:pPr>
            <w:r>
              <w:rPr>
                <w:rFonts w:ascii="Arial" w:hAnsi="Arial"/>
              </w:rPr>
              <w:t>Cele șapte cărări nu sunt o reinterpretare a celor șase dimensiuni ASAM. ASAM structurează evaluarea riscului, nevoilor și nivelului de îngrijire. 7 Cărări începe după această poartă și organizează participarea pacientului la planul de recuperare.</w:t>
            </w:r>
          </w:p>
        </w:tc>
      </w:tr>
    </w:tbl>
    <w:p>
      <w:pPr>
        <w:spacing w:after="20"/>
      </w:pPr>
    </w:p>
    <w:p>
      <w:pPr>
        <w:pStyle w:val="Heading2"/>
        <w:keepNext/>
      </w:pPr>
      <w:r>
        <w:t>5.2. Fundația aliniată dovezilor</w:t>
      </w:r>
    </w:p>
    <w:p>
      <w:pPr>
        <w:pStyle w:val="ListBullet"/>
        <w:spacing w:after="60"/>
      </w:pPr>
      <w:r>
        <w:rPr>
          <w:b/>
        </w:rPr>
        <w:t xml:space="preserve">Multiple căi: </w:t>
      </w:r>
      <w:r>
        <w:t>recuperarea este personală și poate include tratament, medicație, familie, peer support, credință, autoîngrijire și alte resurse.</w:t>
      </w:r>
    </w:p>
    <w:p>
      <w:pPr>
        <w:pStyle w:val="ListBullet"/>
        <w:spacing w:after="60"/>
      </w:pPr>
      <w:r>
        <w:rPr>
          <w:b/>
        </w:rPr>
        <w:t xml:space="preserve">Abordare holistică: </w:t>
      </w:r>
      <w:r>
        <w:t>sănătatea, locuirea, scopul și comunitatea influențează recuperarea.</w:t>
      </w:r>
    </w:p>
    <w:p>
      <w:pPr>
        <w:pStyle w:val="ListBullet"/>
        <w:spacing w:after="60"/>
      </w:pPr>
      <w:r>
        <w:rPr>
          <w:b/>
        </w:rPr>
        <w:t xml:space="preserve">Puncte forte: </w:t>
      </w:r>
      <w:r>
        <w:t>evaluarea include resurse, capacități și relații, nu numai simptome și riscuri.</w:t>
      </w:r>
    </w:p>
    <w:p>
      <w:pPr>
        <w:pStyle w:val="ListBullet"/>
        <w:spacing w:after="60"/>
      </w:pPr>
      <w:r>
        <w:rPr>
          <w:b/>
        </w:rPr>
        <w:t xml:space="preserve">Continuitate: </w:t>
      </w:r>
      <w:r>
        <w:t>recuperarea nu este un episod unic, ci necesită monitorizare, reangajare și tranziții.</w:t>
      </w:r>
    </w:p>
    <w:p>
      <w:pPr>
        <w:pStyle w:val="ListBullet"/>
        <w:spacing w:after="60"/>
      </w:pPr>
      <w:r>
        <w:rPr>
          <w:b/>
        </w:rPr>
        <w:t xml:space="preserve">Decizie comună: </w:t>
      </w:r>
      <w:r>
        <w:t>preferințele și barierele pacientului influențează planul, fără a anula siguranța.</w:t>
      </w:r>
    </w:p>
    <w:p>
      <w:pPr>
        <w:pStyle w:val="ListBullet"/>
        <w:spacing w:after="60"/>
      </w:pPr>
      <w:r>
        <w:rPr>
          <w:b/>
        </w:rPr>
        <w:t xml:space="preserve">Integrare: </w:t>
      </w:r>
      <w:r>
        <w:t>adicția și comorbiditățile psihice și somatice sunt abordate coordonat.</w:t>
      </w:r>
    </w:p>
    <w:p>
      <w:pPr>
        <w:pStyle w:val="ListBullet"/>
        <w:spacing w:after="60"/>
      </w:pPr>
      <w:r>
        <w:rPr>
          <w:b/>
        </w:rPr>
        <w:t xml:space="preserve">Comunitate și peer support: </w:t>
      </w:r>
      <w:r>
        <w:t>sprijinul este voluntar, person-centered, relațional și orientat spre speranță.</w:t>
      </w:r>
    </w:p>
    <w:p>
      <w:pPr>
        <w:pStyle w:val="Heading2"/>
        <w:keepNext/>
      </w:pPr>
      <w:r>
        <w:t>5.3. Principiile proprii ale programului</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289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Principiu</w:t>
            </w:r>
          </w:p>
        </w:tc>
        <w:tc>
          <w:tcPr>
            <w:tcW w:type="dxa" w:w="6520"/>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Aplicare</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Siguranța înaintea alegerii</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urgențele, sevrajul și nivelul de îngrijire se clarifică înaintea cărării</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Alegere ghidată</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pacientul și profesionistul formulează împreună traseul</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Profil, nu etichetă</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persoana are o combinație de cărări care se schimbă</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Pași mici</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obiectivele sunt concrete, limitate și revizuibile</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Resurse înainte de deficite</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planul folosește ce există deja</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Alunecarea produce reevaluare</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nu pedeapsă, clasament sau pierderea accesului</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Dovezi proporționale</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aplicația arată ce este validat și ce este sugestie</w:t>
            </w:r>
          </w:p>
        </w:tc>
      </w:tr>
      <w:tr>
        <w:tc>
          <w:tcPr>
            <w:tcW w:type="dxa" w:w="289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Control uman</w:t>
            </w:r>
          </w:p>
        </w:tc>
        <w:tc>
          <w:tcPr>
            <w:tcW w:type="dxa" w:w="652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nicio concluzie importantă nu este lăsată exclusiv algoritmului</w:t>
            </w:r>
          </w:p>
        </w:tc>
      </w:tr>
    </w:tbl>
    <w:p>
      <w:pPr>
        <w:spacing w:after="20"/>
      </w:pPr>
    </w:p>
    <w:p>
      <w:pPr>
        <w:pStyle w:val="Heading2"/>
        <w:keepNext/>
      </w:pPr>
      <w:r>
        <w:t>5.4. Cele șapte cărări</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345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Cărare</w:t>
            </w:r>
          </w:p>
        </w:tc>
        <w:tc>
          <w:tcPr>
            <w:tcW w:type="dxa" w:w="5953"/>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Domeniu</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1. Medicală și de siguranță</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stabilizare, tratament, comorbidități, sevraj și reducerea riscurilor</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2. Înțelegerea de sine și abilități</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motivație, triggeri, emoții, gânduri, coping și prevenirea recăderii</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3. Comunitate și apartenență</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grupuri, peer support, relații și sprijin mutual</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4. Valori, sens și spiritualitate</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valori și sens; practici spirituale numai dacă sunt alese</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5. Corp și ritm</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somn, alimentație, mișcare, rutină și autoîngrijire</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6. Creație, participare și rost</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muncă, învățare, voluntariat, artă și identitate</w:t>
            </w:r>
          </w:p>
        </w:tc>
      </w:tr>
      <w:tr>
        <w:tc>
          <w:tcPr>
            <w:tcW w:type="dxa" w:w="345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7. Reconstrucție și stabilitate socială</w:t>
            </w:r>
          </w:p>
        </w:tc>
        <w:tc>
          <w:tcPr>
            <w:tcW w:type="dxa" w:w="595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familie, locuire, bani, responsabilități și reintegrare</w:t>
            </w:r>
          </w:p>
        </w:tc>
      </w:tr>
    </w:tbl>
    <w:p>
      <w:pPr>
        <w:spacing w:after="20"/>
      </w:pPr>
    </w:p>
    <w:p>
      <w:pPr>
        <w:pStyle w:val="Heading2"/>
        <w:keepNext/>
      </w:pPr>
      <w:r>
        <w:t>5.5. Relația conceptuală cu dimensiunile recuperării</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Domeniu consacrat</w:t>
            </w:r>
          </w:p>
        </w:tc>
        <w:tc>
          <w:tcPr>
            <w:tcW w:type="dxa" w:w="442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Corespondențe posibile în 7 Cărări</w:t>
            </w:r>
          </w:p>
        </w:tc>
        <w:tc>
          <w:tcPr>
            <w:tcW w:type="dxa" w:w="306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Avertisment</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Health</w:t>
            </w:r>
          </w:p>
        </w:tc>
        <w:tc>
          <w:tcPr>
            <w:tcW w:type="dxa" w:w="442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medicală; corp și ritm; înțelegerea de sine</w:t>
            </w:r>
          </w:p>
        </w:tc>
        <w:tc>
          <w:tcPr>
            <w:tcW w:type="dxa" w:w="306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nu înlocuiește evaluarea clinică</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Home</w:t>
            </w:r>
          </w:p>
        </w:tc>
        <w:tc>
          <w:tcPr>
            <w:tcW w:type="dxa" w:w="442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reconstrucție și stabilitate socială</w:t>
            </w:r>
          </w:p>
        </w:tc>
        <w:tc>
          <w:tcPr>
            <w:tcW w:type="dxa" w:w="306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locuirea poate fi nevoie urgentă, nu obiectiv opțional</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Purpose</w:t>
            </w:r>
          </w:p>
        </w:tc>
        <w:tc>
          <w:tcPr>
            <w:tcW w:type="dxa" w:w="442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creație, participare și rost; valori și sens</w:t>
            </w:r>
          </w:p>
        </w:tc>
        <w:tc>
          <w:tcPr>
            <w:tcW w:type="dxa" w:w="306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scopul este definit de pacient</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Community</w:t>
            </w:r>
          </w:p>
        </w:tc>
        <w:tc>
          <w:tcPr>
            <w:tcW w:type="dxa" w:w="442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comunitate și apartenență; reconstrucție</w:t>
            </w:r>
          </w:p>
        </w:tc>
        <w:tc>
          <w:tcPr>
            <w:tcW w:type="dxa" w:w="306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peer support este voluntar și delimitat</w:t>
            </w:r>
          </w:p>
        </w:tc>
      </w:tr>
    </w:tbl>
    <w:p>
      <w:pPr>
        <w:spacing w:after="20"/>
      </w:pPr>
    </w:p>
    <w:p>
      <w:r>
        <w:rPr>
          <w:i w:val="0"/>
        </w:rPr>
        <w:t>Această corespondență arată compatibilitatea conceptuală cu modelul SAMHSA. Nu demonstrează că cele șapte cărări sunt o scală echivalentă sau validată.</w:t>
      </w:r>
    </w:p>
    <w:p>
      <w:pPr>
        <w:pStyle w:val="Heading2"/>
        <w:keepNext/>
      </w:pPr>
      <w:r>
        <w:t>5.6. Poarta de siguranță și nivelul de îngrijire</w:t>
      </w:r>
    </w:p>
    <w:tbl>
      <w:tblPr>
        <w:tblW w:type="auto" w:w="0"/>
        <w:jc w:val="center"/>
        <w:tblLayout w:type="fixed"/>
        <w:tblLook w:firstColumn="1" w:firstRow="1" w:lastColumn="0" w:lastRow="0" w:noHBand="0" w:noVBand="1" w:val="04A0"/>
      </w:tblPr>
      <w:tblGrid>
        <w:gridCol w:w="1928"/>
        <w:gridCol w:w="1928"/>
        <w:gridCol w:w="1928"/>
        <w:gridCol w:w="1928"/>
        <w:gridCol w:w="1928"/>
      </w:tblGrid>
      <w:tr>
        <w:tc>
          <w:tcPr>
            <w:tcW w:type="dxa" w:w="1882"/>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1</w:t>
              <w:br/>
            </w:r>
            <w:r>
              <w:rPr>
                <w:rFonts w:ascii="Arial" w:hAnsi="Arial"/>
                <w:sz w:val="16"/>
              </w:rPr>
              <w:t>Screening</w:t>
            </w:r>
          </w:p>
        </w:tc>
        <w:tc>
          <w:tcPr>
            <w:tcW w:type="dxa" w:w="1882"/>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2</w:t>
              <w:br/>
            </w:r>
            <w:r>
              <w:rPr>
                <w:rFonts w:ascii="Arial" w:hAnsi="Arial"/>
                <w:sz w:val="16"/>
              </w:rPr>
              <w:t>Evaluare</w:t>
            </w:r>
          </w:p>
        </w:tc>
        <w:tc>
          <w:tcPr>
            <w:tcW w:type="dxa" w:w="1882"/>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3</w:t>
              <w:br/>
            </w:r>
            <w:r>
              <w:rPr>
                <w:rFonts w:ascii="Arial" w:hAnsi="Arial"/>
                <w:sz w:val="16"/>
              </w:rPr>
              <w:t>Nivel de îngrijire</w:t>
            </w:r>
          </w:p>
        </w:tc>
        <w:tc>
          <w:tcPr>
            <w:tcW w:type="dxa" w:w="1882"/>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4</w:t>
              <w:br/>
            </w:r>
            <w:r>
              <w:rPr>
                <w:rFonts w:ascii="Arial" w:hAnsi="Arial"/>
                <w:sz w:val="16"/>
              </w:rPr>
              <w:t>Stabilizare</w:t>
            </w:r>
          </w:p>
        </w:tc>
        <w:tc>
          <w:tcPr>
            <w:tcW w:type="dxa" w:w="1882"/>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5</w:t>
              <w:br/>
            </w:r>
            <w:r>
              <w:rPr>
                <w:rFonts w:ascii="Arial" w:hAnsi="Arial"/>
                <w:sz w:val="16"/>
              </w:rPr>
              <w:t>Alegerea cărării</w:t>
            </w:r>
          </w:p>
        </w:tc>
      </w:tr>
    </w:tbl>
    <w:p>
      <w:pPr>
        <w:spacing w:after="40"/>
      </w:pPr>
    </w:p>
    <w:p>
      <w:r>
        <w:rPr>
          <w:i w:val="0"/>
        </w:rPr>
        <w:t>Cărarea nu este aleasă înainte de clarificarea situațiilor acute. Pentru produsul clinic, clinicianul documentează dacă persoana poate participa în siguranță și ce nevoi rămân obligatorii indiferent de preferințele sale.</w:t>
      </w:r>
    </w:p>
    <w:p>
      <w:pPr>
        <w:pStyle w:val="Heading2"/>
        <w:keepNext/>
      </w:pPr>
      <w:r>
        <w:t>5.7. Profilul de cărări</w:t>
      </w:r>
    </w:p>
    <w:p>
      <w:r>
        <w:rPr>
          <w:i w:val="0"/>
        </w:rPr>
        <w:t>Rezultatul formulării nu este o singură etichetă. Este un profil care conține: cărarea principală de engagement, una sau două cărări de sprijin, nevoile obligatorii de siguranță, resursele existente, serviciile active și domeniile amânate.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255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Componentă</w:t>
            </w:r>
          </w:p>
        </w:tc>
        <w:tc>
          <w:tcPr>
            <w:tcW w:type="dxa" w:w="6860"/>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Semnificație</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Cărare principală</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domeniul prin care pacientul este cel mai pregătit să înceapă</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Cărări de sprijin</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domenii care cresc fezabilitatea și stabilitatea</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Necesități obligatorii</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intervenții care nu pot fi înlocuite de preferință</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Resurse</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persoane, servicii, abilități și contexte favorabile</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Bariere</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factori care împiedică participarea</w:t>
            </w:r>
          </w:p>
        </w:tc>
      </w:tr>
      <w:tr>
        <w:tc>
          <w:tcPr>
            <w:tcW w:type="dxa" w:w="255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Domenii amânate</w:t>
            </w:r>
          </w:p>
        </w:tc>
        <w:tc>
          <w:tcPr>
            <w:tcW w:type="dxa" w:w="6860"/>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nevoi reale pentru care pacientul nu este încă pregătit</w:t>
            </w:r>
          </w:p>
        </w:tc>
      </w:tr>
    </w:tbl>
    <w:p>
      <w:pPr>
        <w:spacing w:after="20"/>
      </w:pPr>
    </w:p>
    <w:p>
      <w:pPr>
        <w:pStyle w:val="Heading2"/>
        <w:keepNext/>
      </w:pPr>
      <w:r>
        <w:t>5.8. Axele conversaționale</w:t>
      </w:r>
    </w:p>
    <w:p>
      <w:r>
        <w:rPr>
          <w:i w:val="0"/>
        </w:rPr>
        <w:t>Termenul «scor» va fi evitat în versiunea inițială. Cele patru axe sunt repere pentru discuție. Dacă se folosesc valori numerice, acestea vor fi prezentate ca ratinguri exploratorii, fără praguri diagnostice sau recomandări automate.</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Axă</w:t>
            </w:r>
          </w:p>
        </w:tc>
        <w:tc>
          <w:tcPr>
            <w:tcW w:type="dxa" w:w="357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Întrebarea</w:t>
            </w:r>
          </w:p>
        </w:tc>
        <w:tc>
          <w:tcPr>
            <w:tcW w:type="dxa" w:w="3912"/>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Rol</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Nevoie</w:t>
            </w:r>
          </w:p>
        </w:tc>
        <w:tc>
          <w:tcPr>
            <w:tcW w:type="dxa" w:w="357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Cât de afectat este acest domeniu?</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identifică importanța clinică și funcțională</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Interes</w:t>
            </w:r>
          </w:p>
        </w:tc>
        <w:tc>
          <w:tcPr>
            <w:tcW w:type="dxa" w:w="357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Cât dorește persoana să lucreze aici acum?</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arată disponibilitatea de engagement</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Resurse</w:t>
            </w:r>
          </w:p>
        </w:tc>
        <w:tc>
          <w:tcPr>
            <w:tcW w:type="dxa" w:w="357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Ce există deja și poate fi mobilizat?</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susține planul strengths-based</w:t>
            </w:r>
          </w:p>
        </w:tc>
      </w:tr>
      <w:tr>
        <w:tc>
          <w:tcPr>
            <w:tcW w:type="dxa" w:w="19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Fezabilitate imediată</w:t>
            </w:r>
          </w:p>
        </w:tc>
        <w:tc>
          <w:tcPr>
            <w:tcW w:type="dxa" w:w="357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Putem face un pas concret și sigur în următoarele zile?</w:t>
            </w:r>
          </w:p>
        </w:tc>
        <w:tc>
          <w:tcPr>
            <w:tcW w:type="dxa" w:w="3912"/>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ajută alegerea punctului de pornire</w:t>
            </w:r>
          </w:p>
        </w:tc>
      </w:tr>
    </w:tbl>
    <w:p>
      <w:pPr>
        <w:spacing w:after="20"/>
      </w:pPr>
    </w:p>
    <w:tbl>
      <w:tblPr>
        <w:tblW w:type="auto" w:w="0"/>
        <w:jc w:val="center"/>
        <w:tblLayout w:type="fixed"/>
        <w:tblLook w:firstColumn="1" w:firstRow="1" w:lastColumn="0" w:lastRow="0" w:noHBand="0" w:noVBand="1" w:val="04A0"/>
      </w:tblPr>
      <w:tblGrid>
        <w:gridCol w:w="9638"/>
      </w:tblGrid>
      <w:tr>
        <w:tc>
          <w:tcPr>
            <w:tcW w:type="dxa" w:w="9411"/>
            <w:shd w:fill="FBEDEE"/>
            <w:tcMar>
              <w:top w:w="130" w:type="dxa"/>
              <w:start w:w="150" w:type="dxa"/>
              <w:bottom w:w="130" w:type="dxa"/>
              <w:end w:w="150" w:type="dxa"/>
            </w:tcMar>
            <w:tcBorders>
              <w:top w:val="single" w:sz="8" w:color="A13D3D"/>
              <w:left w:val="single" w:sz="8" w:color="A13D3D"/>
              <w:bottom w:val="single" w:sz="8" w:color="A13D3D"/>
              <w:right w:val="single" w:sz="8" w:color="A13D3D"/>
            </w:tcBorders>
            <w:vAlign w:val="top"/>
          </w:tcPr>
          <w:p>
            <w:pPr>
              <w:spacing w:line="240" w:lineRule="auto"/>
            </w:pPr>
            <w:r>
              <w:rPr>
                <w:rFonts w:ascii="Arial" w:hAnsi="Arial"/>
                <w:b/>
                <w:color w:val="A13D3D"/>
                <w:sz w:val="21"/>
              </w:rPr>
              <w:t>Agenda de validare</w:t>
            </w:r>
          </w:p>
          <w:p>
            <w:pPr>
              <w:spacing w:after="0" w:line="240" w:lineRule="auto"/>
            </w:pPr>
            <w:r>
              <w:rPr>
                <w:rFonts w:ascii="Arial" w:hAnsi="Arial"/>
              </w:rPr>
              <w:t>Înainte ca aceste axe să fie transformate într-un scor, sunt necesare: validitate de conținut, testare cognitivă, fiabilitate, relația cu rezultate și evaluarea consecințelor utilizării.</w:t>
            </w:r>
          </w:p>
        </w:tc>
      </w:tr>
    </w:tbl>
    <w:p>
      <w:pPr>
        <w:spacing w:after="20"/>
      </w:pPr>
    </w:p>
    <w:p>
      <w:pPr>
        <w:pStyle w:val="Heading2"/>
        <w:keepNext/>
      </w:pPr>
      <w:r>
        <w:t>5.9. Procesul de decizie comună</w:t>
      </w:r>
    </w:p>
    <w:p>
      <w:r>
        <w:rPr>
          <w:i w:val="0"/>
        </w:rPr>
        <w:t>Conversația de alegere va urma un ritm inspirat de interviul motivațional: relație și engagement, focalizarea asupra unei direcții, evocarea motivelor proprii și planificarea pasului următor.</w:t>
      </w:r>
    </w:p>
    <w:tbl>
      <w:tblPr>
        <w:tblW w:type="auto" w:w="0"/>
        <w:jc w:val="center"/>
        <w:tblLayout w:type="fixed"/>
        <w:tblLook w:firstColumn="1" w:firstRow="1" w:lastColumn="0" w:lastRow="0" w:noHBand="0" w:noVBand="1" w:val="04A0"/>
      </w:tblPr>
      <w:tblGrid>
        <w:gridCol w:w="2409"/>
        <w:gridCol w:w="2409"/>
        <w:gridCol w:w="2409"/>
        <w:gridCol w:w="2409"/>
      </w:tblGrid>
      <w:tr>
        <w:tc>
          <w:tcPr>
            <w:tcW w:type="dxa" w:w="2353"/>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1</w:t>
              <w:br/>
            </w:r>
            <w:r>
              <w:rPr>
                <w:rFonts w:ascii="Arial" w:hAnsi="Arial"/>
                <w:sz w:val="16"/>
              </w:rPr>
              <w:t>Engagement</w:t>
            </w:r>
          </w:p>
        </w:tc>
        <w:tc>
          <w:tcPr>
            <w:tcW w:type="dxa" w:w="2353"/>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2</w:t>
              <w:br/>
            </w:r>
            <w:r>
              <w:rPr>
                <w:rFonts w:ascii="Arial" w:hAnsi="Arial"/>
                <w:sz w:val="16"/>
              </w:rPr>
              <w:t>Focalizare</w:t>
            </w:r>
          </w:p>
        </w:tc>
        <w:tc>
          <w:tcPr>
            <w:tcW w:type="dxa" w:w="2353"/>
            <w:shd w:fill="EEF4F7"/>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3</w:t>
              <w:br/>
            </w:r>
            <w:r>
              <w:rPr>
                <w:rFonts w:ascii="Arial" w:hAnsi="Arial"/>
                <w:sz w:val="16"/>
              </w:rPr>
              <w:t>Elicitarea motivelor</w:t>
            </w:r>
          </w:p>
        </w:tc>
        <w:tc>
          <w:tcPr>
            <w:tcW w:type="dxa" w:w="2353"/>
            <w:shd w:fill="EAF5F3"/>
            <w:tcMar>
              <w:top w:w="100" w:type="dxa"/>
              <w:start w:w="65" w:type="dxa"/>
              <w:bottom w:w="100" w:type="dxa"/>
              <w:end w:w="65" w:type="dxa"/>
            </w:tcMar>
            <w:tcBorders>
              <w:top w:val="single" w:sz="4" w:color="D6DEE5"/>
              <w:left w:val="single" w:sz="4" w:color="D6DEE5"/>
              <w:bottom w:val="single" w:sz="4" w:color="D6DEE5"/>
              <w:right w:val="single" w:sz="4" w:color="D6DEE5"/>
            </w:tcBorders>
            <w:vAlign w:val="top"/>
          </w:tcPr>
          <w:p>
            <w:pPr>
              <w:spacing w:line="240" w:lineRule="auto"/>
              <w:jc w:val="center"/>
            </w:pPr>
            <w:r>
              <w:rPr>
                <w:rFonts w:ascii="Arial" w:hAnsi="Arial"/>
                <w:b/>
                <w:color w:val="1D7775"/>
                <w:sz w:val="20"/>
              </w:rPr>
              <w:t>4</w:t>
              <w:br/>
            </w:r>
            <w:r>
              <w:rPr>
                <w:rFonts w:ascii="Arial" w:hAnsi="Arial"/>
                <w:sz w:val="16"/>
              </w:rPr>
              <w:t>Planificare</w:t>
            </w:r>
          </w:p>
        </w:tc>
      </w:tr>
    </w:tbl>
    <w:p>
      <w:pPr>
        <w:spacing w:after="40"/>
      </w:pPr>
    </w:p>
    <w:p>
      <w:pPr>
        <w:pStyle w:val="ListBullet"/>
        <w:spacing w:after="60"/>
      </w:pPr>
      <w:r>
        <w:t>clinicianul nu încearcă să «vândă» cărarea pe care o preferă;</w:t>
      </w:r>
    </w:p>
    <w:p>
      <w:pPr>
        <w:pStyle w:val="ListBullet"/>
        <w:spacing w:after="60"/>
      </w:pPr>
      <w:r>
        <w:t>ambivalența este explorată, nu tratată ca lipsă de cooperare;</w:t>
      </w:r>
    </w:p>
    <w:p>
      <w:pPr>
        <w:pStyle w:val="ListBullet"/>
        <w:spacing w:after="60"/>
      </w:pPr>
      <w:r>
        <w:t>preferința pacientului este documentată împreună cu recomandarea profesională;</w:t>
      </w:r>
    </w:p>
    <w:p>
      <w:pPr>
        <w:pStyle w:val="ListBullet"/>
        <w:spacing w:after="60"/>
      </w:pPr>
      <w:r>
        <w:t>dezacordul este vizibil și poate fi revizuit;</w:t>
      </w:r>
    </w:p>
    <w:p>
      <w:pPr>
        <w:pStyle w:val="ListBullet"/>
        <w:spacing w:after="60"/>
      </w:pPr>
      <w:r>
        <w:t>alegerea rămâne compatibilă cu siguranța și nivelul de îngrijire.</w:t>
      </w:r>
    </w:p>
    <w:p>
      <w:pPr>
        <w:pStyle w:val="Heading2"/>
        <w:keepNext/>
      </w:pPr>
      <w:r>
        <w:t>5.10. Obiectivul de recuperare</w:t>
      </w:r>
    </w:p>
    <w:p>
      <w:r>
        <w:rPr>
          <w:i w:val="0"/>
        </w:rPr>
        <w:t>Aplicația trebuie să înregistreze explicit obiectivul curent: abstinență, reducerea consumului, reducerea riscurilor, stabilizare, intrarea în tratament sau menținerea remisiunii. Obiectivul este stabilit prin decizie comună și poate fi revizuit.</w:t>
      </w:r>
    </w:p>
    <w:p>
      <w:r>
        <w:rPr>
          <w:i w:val="0"/>
        </w:rPr>
        <w:t>Pentru populația inițială postsevraj cu dependență de alcool, abstinența va fi de regulă obiectivul clinic recomandat, dar produsul nu trebuie să falsifice realitatea atunci când persoana nu este încă pregătită. În aceste situații se documentează obiectivul intermediar și măsurile de siguranță.</w:t>
      </w:r>
    </w:p>
    <w:p>
      <w:pPr>
        <w:pStyle w:val="Heading2"/>
        <w:keepNext/>
      </w:pPr>
      <w:r>
        <w:t>5.11. Modelul temporal</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Interval</w:t>
            </w:r>
          </w:p>
        </w:tc>
        <w:tc>
          <w:tcPr>
            <w:tcW w:type="dxa" w:w="385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Funcție</w:t>
            </w:r>
          </w:p>
        </w:tc>
        <w:tc>
          <w:tcPr>
            <w:tcW w:type="dxa" w:w="3855"/>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Nu înseamnă</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7 zile</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activare și primul pas</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că recuperarea este evaluată după o săptămână</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30 zile</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stabilizare și revizuirea planului</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că programul se încheie</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90 zile</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consolidare și tranziție</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că persoana este «vindecată»</w:t>
            </w:r>
          </w:p>
        </w:tc>
      </w:tr>
      <w:tr>
        <w:tc>
          <w:tcPr>
            <w:tcW w:type="dxa" w:w="1701"/>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Întreținere</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monitorizare și reangajare rapidă</w:t>
            </w:r>
          </w:p>
        </w:tc>
        <w:tc>
          <w:tcPr>
            <w:tcW w:type="dxa" w:w="3855"/>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supraveghere permanentă</w:t>
            </w:r>
          </w:p>
        </w:tc>
      </w:tr>
    </w:tbl>
    <w:p>
      <w:pPr>
        <w:spacing w:after="20"/>
      </w:pPr>
    </w:p>
    <w:p>
      <w:pPr>
        <w:pStyle w:val="Heading2"/>
        <w:keepNext/>
      </w:pPr>
      <w:r>
        <w:t>5.12. Definiția succesului</w:t>
      </w:r>
    </w:p>
    <w:p>
      <w:r>
        <w:rPr>
          <w:i w:val="0"/>
        </w:rPr>
        <w:t>Succesul va fi măsurat multidimensional. Consumul și siguranța rămân centrale, dar se urmăresc și participarea, funcționarea, sănătatea, locuirea, relațiile, scopul, calitatea vieții și capacitatea de a solicita ajutor.</w:t>
      </w:r>
    </w:p>
    <w:p>
      <w:pPr>
        <w:pStyle w:val="ListBullet"/>
        <w:spacing w:after="60"/>
      </w:pPr>
      <w:r>
        <w:t>reducerea riscului și a episoadelor grave;</w:t>
      </w:r>
    </w:p>
    <w:p>
      <w:pPr>
        <w:pStyle w:val="ListBullet"/>
        <w:spacing w:after="60"/>
      </w:pPr>
      <w:r>
        <w:t>atingerea obiectivului de consum stabilit clinic;</w:t>
      </w:r>
    </w:p>
    <w:p>
      <w:pPr>
        <w:pStyle w:val="ListBullet"/>
        <w:spacing w:after="60"/>
      </w:pPr>
      <w:r>
        <w:t>aderența la servicii și tratament;</w:t>
      </w:r>
    </w:p>
    <w:p>
      <w:pPr>
        <w:pStyle w:val="ListBullet"/>
        <w:spacing w:after="60"/>
      </w:pPr>
      <w:r>
        <w:t>îmbunătățirea funcționării și a stabilității;</w:t>
      </w:r>
    </w:p>
    <w:p>
      <w:pPr>
        <w:pStyle w:val="ListBullet"/>
        <w:spacing w:after="60"/>
      </w:pPr>
      <w:r>
        <w:t>creșterea resurselor și a rețelei de sprijin;</w:t>
      </w:r>
    </w:p>
    <w:p>
      <w:pPr>
        <w:pStyle w:val="ListBullet"/>
        <w:spacing w:after="60"/>
      </w:pPr>
      <w:r>
        <w:t>reangajare rapidă după alunecare;</w:t>
      </w:r>
    </w:p>
    <w:p>
      <w:pPr>
        <w:pStyle w:val="ListBullet"/>
        <w:spacing w:after="60"/>
      </w:pPr>
      <w:r>
        <w:t>experiență acceptabilă pentru pacient și personal.</w:t>
      </w:r>
    </w:p>
    <w:p>
      <w:pPr>
        <w:pStyle w:val="Heading2"/>
        <w:keepNext/>
      </w:pPr>
      <w:r>
        <w:t>5.13. Agenda de validare a modelului 7 Cărări</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226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Domeniu</w:t>
            </w:r>
          </w:p>
        </w:tc>
        <w:tc>
          <w:tcPr>
            <w:tcW w:type="dxa" w:w="7143"/>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Întrebare de validare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Validitate de conținut</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experți, profesioniști și persoane cu experiență trăită evaluează dacă domeniile acoperă recuperarea</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Testare cognitivă</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pacienții explică în propriile cuvinte ce înțeleg din fiecare cărare și întrebare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Fezabilitate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timp, abandon, sarcină pentru personal și completitudinea datelor</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Acceptabilitate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utilitate, stigmatizare, autonomie și încredere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Siguranță</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alerte, erori, utilizare previzibil greșită și întârzieri</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Semnal de efect</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engagement, retenție, servicii accesate și rezultate la 30/90 zile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Echitate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diferențe după vârstă, educație, mediul rural, dizabilitate și acces digital</w:t>
            </w:r>
          </w:p>
        </w:tc>
      </w:tr>
    </w:tbl>
    <w:p>
      <w:pPr>
        <w:spacing w:after="20"/>
      </w:pPr>
    </w:p>
    <w:p>
      <w:pPr>
        <w:pStyle w:val="Heading1"/>
        <w:keepNext/>
        <w:pageBreakBefore/>
      </w:pPr>
      <w:r>
        <w:t>C. Harta surselor pentru Partea I</w:t>
      </w:r>
    </w:p>
    <w:p>
      <w:pPr>
        <w:pStyle w:val="Heading2"/>
        <w:keepNext/>
      </w:pPr>
      <w:r>
        <w:t>C.1. Surse oficiale actuale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36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Sursă</w:t>
            </w:r>
          </w:p>
        </w:tc>
        <w:tc>
          <w:tcPr>
            <w:tcW w:type="dxa" w:w="5783"/>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Utilizare în revizuire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WHO/UNODC, 2020</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standarde etice și bazate pe dovezi pentru organizarea tratamentului și populații cu nevoi speciale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SAMHSA, About Recovery, actualizat 25.11.2024</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multiple pathways; health, home, purpose, community; puncte forte și gestionarea setback-urilor</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SAMHSA Peer Worker Competencies, actualizat 24.03.2026</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peer support recovery-oriented, person-centered, voluntar, relațional și trauma-informed</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ASAM Criteria, 4th ed.</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evaluare holistică, person-centered, șase dimensiuni, reevaluare și continuum de îngrijire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ASAM Assessment Guides, 2026</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separarea evaluării pentru nivel de îngrijire, planificare și reevaluare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NIDA, Principles of Drug Addiction Treatment</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tratament individualizat, disponibil și adaptat nevoilor multiple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NICE CG115, actualizat administrativ în aprilie 2026</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shared decision making și integrarea intervențiilor medicale și psihosociale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EUDA Best Practice Portal</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intervenții digitale ca suport continuu; case management și coordonarea îngrijirii</w:t>
            </w:r>
          </w:p>
        </w:tc>
      </w:tr>
    </w:tbl>
    <w:p>
      <w:pPr>
        <w:spacing w:after="20"/>
      </w:pPr>
    </w:p>
    <w:p>
      <w:pPr>
        <w:pStyle w:val="Heading2"/>
        <w:keepNext/>
      </w:pPr>
      <w:r>
        <w:t>C.2. Cărți consultate în Google Drive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362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Sursă</w:t>
            </w:r>
          </w:p>
        </w:tc>
        <w:tc>
          <w:tcPr>
            <w:tcW w:type="dxa" w:w="5783"/>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Element preluat conceptual</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Colombo Plan UTC, Course 2</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recovery management, continuitate, evaluarea punctelor forte și legătura cu resursele comunitare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Levounis, Arnaout &amp; Marienfeld, 2017</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engaging, focusing, evoking și planning în interviul motivațional</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Sobell &amp; Sobell, 2011</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integrarea MI și CBT în grup și necesitatea structurii operaționale</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Perkinson, Jongsma &amp; Bruce, 2022</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planificarea documentată și multidimensională a tratamentului</w:t>
            </w:r>
          </w:p>
        </w:tc>
      </w:tr>
      <w:tr>
        <w:tc>
          <w:tcPr>
            <w:tcW w:type="dxa" w:w="362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Chambers &amp; Masterson, 2025</w:t>
            </w:r>
          </w:p>
        </w:tc>
        <w:tc>
          <w:tcPr>
            <w:tcW w:type="dxa" w:w="578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anti-stigmă, adicția ca problemă de sănătate și integrarea dual-diagnosis</w:t>
            </w:r>
          </w:p>
        </w:tc>
      </w:tr>
    </w:tbl>
    <w:p>
      <w:pPr>
        <w:spacing w:after="20"/>
      </w:pPr>
    </w:p>
    <w:p>
      <w:pPr>
        <w:pStyle w:val="Heading2"/>
        <w:keepNext/>
      </w:pPr>
      <w:r>
        <w:t>C.3. Linkuri oficiale</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4819"/>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Sursă</w:t>
            </w:r>
          </w:p>
        </w:tc>
        <w:tc>
          <w:tcPr>
            <w:tcW w:type="dxa" w:w="4819"/>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7"/>
              </w:rPr>
              <w:t>Link</w:t>
            </w:r>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sz w:val="17"/>
              </w:rPr>
              <w:t>WHO/UNODC International Standards</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hyperlink r:id="rId11">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r>
              <w:rPr>
                <w:rFonts w:ascii="Arial" w:hAnsi="Arial"/>
                <w:b/>
                <w:sz w:val="17"/>
              </w:rPr>
              <w:t>SAMHSA About Recovery</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hyperlink r:id="rId12">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sz w:val="17"/>
              </w:rPr>
              <w:t>SAMHSA Peer Worker Competencies</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hyperlink r:id="rId13">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r>
              <w:rPr>
                <w:rFonts w:ascii="Arial" w:hAnsi="Arial"/>
                <w:b/>
                <w:sz w:val="17"/>
              </w:rPr>
              <w:t>ASAM Criteria 4th Edition</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hyperlink r:id="rId14">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sz w:val="17"/>
              </w:rPr>
              <w:t>ASAM Assessment Guides</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hyperlink r:id="rId15">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r>
              <w:rPr>
                <w:rFonts w:ascii="Arial" w:hAnsi="Arial"/>
                <w:b/>
                <w:sz w:val="17"/>
              </w:rPr>
              <w:t>NIDA Principles of Drug Addiction Treatment</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hyperlink r:id="rId16">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sz w:val="17"/>
              </w:rPr>
              <w:t>NICE CG115</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hyperlink r:id="rId17">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r>
              <w:rPr>
                <w:rFonts w:ascii="Arial" w:hAnsi="Arial"/>
                <w:b/>
                <w:sz w:val="17"/>
              </w:rPr>
              <w:t>EUDA Digital Interventions for Alcohol</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shd w:fill="FAFBFC"/>
            <w:vAlign w:val="top"/>
          </w:tcPr>
          <w:p>
            <w:pPr>
              <w:spacing w:line="240" w:lineRule="auto"/>
            </w:pPr>
            <w:hyperlink r:id="rId18">
              <w:r>
                <w:rPr>
                  <w:color w:val="1D7775"/>
                  <w:u w:val="single"/>
                </w:rPr>
                <w:t>Deschide sursa</w:t>
              </w:r>
            </w:hyperlink>
          </w:p>
        </w:tc>
      </w:tr>
      <w:tr>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sz w:val="17"/>
              </w:rPr>
              <w:t>EUDA Case Management</w:t>
            </w:r>
          </w:p>
        </w:tc>
        <w:tc>
          <w:tcPr>
            <w:tcW w:type="dxa" w:w="4819"/>
            <w:tcMar>
              <w:top w:w="70" w:type="dxa"/>
              <w:start w:w="70" w:type="dxa"/>
              <w:bottom w:w="70" w:type="dxa"/>
              <w:end w:w="70" w:type="dxa"/>
            </w:tcMar>
            <w:tcBorders>
              <w:top w:val="single" w:sz="4" w:color="D6DEE5"/>
              <w:left w:val="single" w:sz="4" w:color="D6DEE5"/>
              <w:bottom w:val="single" w:sz="4" w:color="D6DEE5"/>
              <w:right w:val="single" w:sz="4" w:color="D6DEE5"/>
            </w:tcBorders>
            <w:vAlign w:val="top"/>
          </w:tcPr>
          <w:p>
            <w:pPr>
              <w:spacing w:line="240" w:lineRule="auto"/>
            </w:pPr>
            <w:hyperlink r:id="rId19">
              <w:r>
                <w:rPr>
                  <w:color w:val="1D7775"/>
                  <w:u w:val="single"/>
                </w:rPr>
                <w:t>Deschide sursa</w:t>
              </w:r>
            </w:hyperlink>
          </w:p>
        </w:tc>
      </w:tr>
    </w:tbl>
    <w:p>
      <w:pPr>
        <w:pStyle w:val="Heading1"/>
        <w:keepNext/>
      </w:pPr>
      <w:r>
        <w:t>D. Registrul modificărilor față de versiunea 0.1</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2268"/>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Secțiune</w:t>
            </w:r>
          </w:p>
        </w:tc>
        <w:tc>
          <w:tcPr>
            <w:tcW w:type="dxa" w:w="7143"/>
            <w:shd w:fill="183247"/>
            <w:tcMar>
              <w:top w:w="90" w:type="dxa"/>
              <w:start w:w="90" w:type="dxa"/>
              <w:bottom w:w="90" w:type="dxa"/>
              <w:end w:w="90" w:type="dxa"/>
            </w:tcMar>
            <w:tcBorders>
              <w:top w:val="single" w:sz="4" w:color="D6DEE5"/>
              <w:left w:val="single" w:sz="4" w:color="D6DEE5"/>
              <w:bottom w:val="single" w:sz="4" w:color="D6DEE5"/>
              <w:right w:val="single" w:sz="4" w:color="D6DEE5"/>
            </w:tcBorders>
            <w:vAlign w:val="top"/>
          </w:tcPr>
          <w:p>
            <w:pPr>
              <w:spacing w:line="240" w:lineRule="auto"/>
            </w:pPr>
            <w:r>
              <w:rPr>
                <w:rFonts w:ascii="Arial" w:hAnsi="Arial"/>
                <w:b/>
                <w:color w:val="FFFFFF"/>
                <w:sz w:val="16"/>
              </w:rPr>
              <w:t>Modificare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Nota introductivă</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adăugat statutul evidence-informed și interdicția afirmațiilor de eficacitate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Rezumat</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adăugată populația inițială, rolurile economice și ipotezele testabile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Strategie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înlocuit «SaaS clinic» cu deployment flexibil și trei moduri de utilizare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Definiție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clarificată sursa de adevăr și job-ul principal al produsului</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Segmente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pacientul devine utilizator central; rețeaua este mutată după validarea programului</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Model clinic</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clarificată relația cu ASAM și SAMHSA</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Scoruri</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redenumite axe conversaționale și marcate nevalidate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Cărări</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denumiri extinse și delimitarea spiritualității voluntare</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b/>
                <w:sz w:val="16"/>
              </w:rPr>
              <w:t>Obiective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tcPr>
          <w:p>
            <w:pPr>
              <w:spacing w:after="0" w:line="240" w:lineRule="auto"/>
            </w:pPr>
            <w:r>
              <w:rPr>
                <w:rFonts w:ascii="Arial" w:hAnsi="Arial"/>
                <w:sz w:val="16"/>
              </w:rPr>
              <w:t>adăugat obiectivul de consum și diferența dintre 7/30/90 zile și recuperarea longitudinală</w:t>
            </w:r>
          </w:p>
        </w:tc>
      </w:tr>
      <w:tr>
        <w:tc>
          <w:tcPr>
            <w:tcW w:type="dxa" w:w="2268"/>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b/>
                <w:sz w:val="16"/>
              </w:rPr>
              <w:t>Validare</w:t>
            </w:r>
          </w:p>
        </w:tc>
        <w:tc>
          <w:tcPr>
            <w:tcW w:type="dxa" w:w="7143"/>
            <w:tcMar>
              <w:top w:w="75" w:type="dxa"/>
              <w:start w:w="75" w:type="dxa"/>
              <w:bottom w:w="75" w:type="dxa"/>
              <w:end w:w="75" w:type="dxa"/>
            </w:tcMar>
            <w:tcBorders>
              <w:top w:val="single" w:sz="4" w:color="D6DEE5"/>
              <w:left w:val="single" w:sz="4" w:color="D6DEE5"/>
              <w:bottom w:val="single" w:sz="4" w:color="D6DEE5"/>
              <w:right w:val="single" w:sz="4" w:color="D6DEE5"/>
            </w:tcBorders>
            <w:vAlign w:val="top"/>
            <w:shd w:fill="FAFBFC"/>
          </w:tcPr>
          <w:p>
            <w:pPr>
              <w:spacing w:after="0" w:line="240" w:lineRule="auto"/>
            </w:pPr>
            <w:r>
              <w:rPr>
                <w:rFonts w:ascii="Arial" w:hAnsi="Arial"/>
                <w:sz w:val="16"/>
              </w:rPr>
              <w:t>adăugată agenda de validare a modelului original</w:t>
            </w:r>
          </w:p>
        </w:tc>
      </w:tr>
    </w:tbl>
    <w:p>
      <w:pPr>
        <w:spacing w:after="20"/>
      </w:pPr>
    </w:p>
    <w:tbl>
      <w:tblPr>
        <w:tblW w:type="auto" w:w="0"/>
        <w:jc w:val="center"/>
        <w:tblLayout w:type="fixed"/>
        <w:tblLook w:firstColumn="1" w:firstRow="1" w:lastColumn="0" w:lastRow="0" w:noHBand="0" w:noVBand="1" w:val="04A0"/>
      </w:tblPr>
      <w:tblGrid>
        <w:gridCol w:w="9638"/>
      </w:tblGrid>
      <w:tr>
        <w:tc>
          <w:tcPr>
            <w:tcW w:type="dxa" w:w="9411"/>
            <w:shd w:fill="FAF4E4"/>
            <w:tcMar>
              <w:top w:w="130" w:type="dxa"/>
              <w:start w:w="150" w:type="dxa"/>
              <w:bottom w:w="130" w:type="dxa"/>
              <w:end w:w="150" w:type="dxa"/>
            </w:tcMar>
            <w:tcBorders>
              <w:top w:val="single" w:sz="8" w:color="B8892E"/>
              <w:left w:val="single" w:sz="8" w:color="B8892E"/>
              <w:bottom w:val="single" w:sz="8" w:color="B8892E"/>
              <w:right w:val="single" w:sz="8" w:color="B8892E"/>
            </w:tcBorders>
            <w:vAlign w:val="top"/>
          </w:tcPr>
          <w:p>
            <w:pPr>
              <w:spacing w:line="240" w:lineRule="auto"/>
            </w:pPr>
            <w:r>
              <w:rPr>
                <w:rFonts w:ascii="Arial" w:hAnsi="Arial"/>
                <w:b/>
                <w:color w:val="B8892E"/>
                <w:sz w:val="21"/>
              </w:rPr>
              <w:t>Verdictul Părții I</w:t>
            </w:r>
          </w:p>
          <w:p>
            <w:pPr>
              <w:spacing w:after="0" w:line="240" w:lineRule="auto"/>
            </w:pPr>
            <w:r>
              <w:rPr>
                <w:rFonts w:ascii="Arial" w:hAnsi="Arial"/>
              </w:rPr>
              <w:t>Conceptul este suficient de puternic pentru a continua spre prototip, cu trei condiții: populație pilot îngustă, separarea clară dintre standardele clinice și modelul original, și interdicția ca axele sau chatbotul să ia decizii autonome. În această formă, produsul are o identitate mai clară și o cale realistă către pilot și comercializare.</w:t>
            </w:r>
          </w:p>
        </w:tc>
      </w:tr>
    </w:tbl>
    <w:p>
      <w:pPr>
        <w:spacing w:after="20"/>
      </w:pPr>
    </w:p>
    <w:sectPr w:rsidR="00FC693F" w:rsidRPr="0006063C" w:rsidSect="00034616">
      <w:headerReference w:type="default" r:id="rId9"/>
      <w:footerReference w:type="default" r:id="rId10"/>
      <w:pgSz w:w="11906" w:h="16838"/>
      <w:pgMar w:top="1077" w:right="1134" w:bottom="1020" w:left="1134"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7085"/>
        <w:sz w:val="16"/>
      </w:rPr>
      <w:t xml:space="preserve">Versiunea 0.2  |  22 iulie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67085"/>
        <w:sz w:val="16"/>
      </w:rPr>
      <w:t>7 CĂRĂRI  |  REVIZUIRE EXHAUSTIVĂ  |  PARTEA 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8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83247"/>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1D7775"/>
      <w:sz w:val="28"/>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4F765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324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1D777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Small">
    <w:name w:val="Caption Small"/>
    <w:pPr>
      <w:spacing w:after="60"/>
    </w:pPr>
    <w:rPr>
      <w:rFonts w:ascii="Arial" w:hAnsi="Arial"/>
      <w:color w:val="66708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ho.int/publications/i/item/international-standards-for-the-treatment-of-drug-use-disorders" TargetMode="External"/><Relationship Id="rId12" Type="http://schemas.openxmlformats.org/officeDocument/2006/relationships/hyperlink" Target="https://www.samhsa.gov/substance-use/recovery/about" TargetMode="External"/><Relationship Id="rId13" Type="http://schemas.openxmlformats.org/officeDocument/2006/relationships/hyperlink" Target="https://www.samhsa.gov/substance-use/recovery/peer-support-workers/core-competencies" TargetMode="External"/><Relationship Id="rId14" Type="http://schemas.openxmlformats.org/officeDocument/2006/relationships/hyperlink" Target="https://www.asam.org/asam-criteria/asam-criteria-4th-edition" TargetMode="External"/><Relationship Id="rId15" Type="http://schemas.openxmlformats.org/officeDocument/2006/relationships/hyperlink" Target="https://www.asam.org/asam-criteria/implementation-tools/Criteria-assessment-guides" TargetMode="External"/><Relationship Id="rId16" Type="http://schemas.openxmlformats.org/officeDocument/2006/relationships/hyperlink" Target="https://nida.nih.gov/sites/default/files/podat-3rdEd-508.pdf" TargetMode="External"/><Relationship Id="rId17" Type="http://schemas.openxmlformats.org/officeDocument/2006/relationships/hyperlink" Target="https://www.nice.org.uk/guidance/cg115/chapter/Recommendations" TargetMode="External"/><Relationship Id="rId18" Type="http://schemas.openxmlformats.org/officeDocument/2006/relationships/hyperlink" Target="https://www.euda.europa.eu/best-practice/evidence-summaries/digital-interventions-treat-substance-use-disorder-alcohol_en" TargetMode="External"/><Relationship Id="rId19" Type="http://schemas.openxmlformats.org/officeDocument/2006/relationships/hyperlink" Target="https://www.euda.europa.eu/best-practice/evidence-summaries/case-management-improve-treatment-outcom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Cărări - Revizuire exhaustivă, Partea I</dc:title>
  <dc:subject>Fundamentul strategic și clinic al aplicației standalone</dc:subject>
  <dc:creator>OpenAI - document de lucru pentru proiectul Psinaptic</dc:creator>
  <cp:keywords/>
  <dc:description>Versiunea 0.2, 22 iulie 2026</dc:description>
  <cp:lastModifiedBy/>
  <cp:revision>1</cp:revision>
  <dcterms:created xsi:type="dcterms:W3CDTF">2013-12-23T23:15:00Z</dcterms:created>
  <dcterms:modified xsi:type="dcterms:W3CDTF">2013-12-23T23:15:00Z</dcterms:modified>
  <cp:category/>
</cp:coreProperties>
</file>