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40"/>
        <w:jc w:val="center"/>
      </w:pPr>
      <w:r>
        <w:rPr>
          <w:b/>
          <w:color w:val="17324D"/>
          <w:sz w:val="68"/>
        </w:rPr>
        <w:t>7 CĂRĂRI</w:t>
      </w:r>
    </w:p>
    <w:p>
      <w:pPr>
        <w:jc w:val="center"/>
      </w:pPr>
      <w:r>
        <w:rPr>
          <w:color w:val="197A7A"/>
          <w:sz w:val="40"/>
        </w:rPr>
        <w:t>Manual clinic complet</w:t>
      </w:r>
    </w:p>
    <w:p>
      <w:pPr>
        <w:jc w:val="center"/>
      </w:pPr>
      <w:r>
        <w:rPr>
          <w:i/>
          <w:color w:val="4E7A5B"/>
          <w:sz w:val="23"/>
        </w:rPr>
        <w:t>Evaluare • formulare clinică • traseu personalizat • intervenții • siguranță • continuitate</w:t>
      </w:r>
    </w:p>
    <w:tbl>
      <w:tblPr>
        <w:tblW w:type="auto" w:w="0"/>
        <w:jc w:val="center"/>
        <w:tblLayout w:type="fixed"/>
        <w:tblLook w:firstColumn="1" w:firstRow="1" w:lastColumn="0" w:lastRow="0" w:noHBand="0" w:noVBand="1" w:val="04A0"/>
      </w:tblPr>
      <w:tblGrid>
        <w:gridCol w:w="3213"/>
        <w:gridCol w:w="3213"/>
        <w:gridCol w:w="3213"/>
      </w:tblGrid>
      <w:tr>
        <w:tc>
          <w:tcPr>
            <w:tcW w:type="dxa" w:w="3118"/>
            <w:shd w:fill="17324D"/>
            <w:tcMar>
              <w:top w:w="30" w:type="dxa"/>
              <w:start w:w="0" w:type="dxa"/>
              <w:bottom w:w="30" w:type="dxa"/>
              <w:end w:w="0" w:type="dxa"/>
            </w:tcMar>
            <w:vAlign w:val="top"/>
          </w:tcPr>
          <w:p>
            <w:pPr>
              <w:spacing w:line="240" w:lineRule="auto"/>
            </w:pPr>
          </w:p>
        </w:tc>
        <w:tc>
          <w:tcPr>
            <w:tcW w:type="dxa" w:w="3118"/>
            <w:shd w:fill="197A7A"/>
            <w:tcMar>
              <w:top w:w="30" w:type="dxa"/>
              <w:start w:w="0" w:type="dxa"/>
              <w:bottom w:w="30" w:type="dxa"/>
              <w:end w:w="0" w:type="dxa"/>
            </w:tcMar>
            <w:vAlign w:val="top"/>
          </w:tcPr>
          <w:p>
            <w:pPr>
              <w:spacing w:line="240" w:lineRule="auto"/>
            </w:pPr>
          </w:p>
        </w:tc>
        <w:tc>
          <w:tcPr>
            <w:tcW w:type="dxa" w:w="3118"/>
            <w:shd w:fill="C79838"/>
            <w:tcMar>
              <w:top w:w="30" w:type="dxa"/>
              <w:start w:w="0" w:type="dxa"/>
              <w:bottom w:w="30" w:type="dxa"/>
              <w:end w:w="0" w:type="dxa"/>
            </w:tcMar>
            <w:vAlign w:val="top"/>
          </w:tcPr>
          <w:p>
            <w:pPr>
              <w:spacing w:line="240" w:lineRule="auto"/>
            </w:pPr>
          </w:p>
        </w:tc>
      </w:tr>
    </w:tbl>
    <w:p/>
    <w:tbl>
      <w:tblPr>
        <w:tblW w:type="auto" w:w="0"/>
        <w:jc w:val="center"/>
        <w:tblLayout w:type="fixed"/>
        <w:tblLook w:firstColumn="1" w:firstRow="1" w:lastColumn="0" w:lastRow="0" w:noHBand="0" w:noVBand="1" w:val="04A0"/>
      </w:tblPr>
      <w:tblGrid>
        <w:gridCol w:w="9638"/>
      </w:tblGrid>
      <w:tr>
        <w:tc>
          <w:tcPr>
            <w:tcW w:type="dxa" w:w="9411"/>
            <w:shd w:fill="FBEDEE"/>
            <w:tcBorders>
              <w:top w:val="single" w:sz="8" w:color="A43B3B"/>
              <w:left w:val="single" w:sz="8" w:color="A43B3B"/>
              <w:bottom w:val="single" w:sz="8" w:color="A43B3B"/>
              <w:right w:val="single" w:sz="8" w:color="A43B3B"/>
            </w:tcBorders>
            <w:tcMar>
              <w:top w:w="120" w:type="dxa"/>
              <w:start w:w="150" w:type="dxa"/>
              <w:bottom w:w="120" w:type="dxa"/>
              <w:end w:w="150" w:type="dxa"/>
            </w:tcMar>
            <w:vAlign w:val="top"/>
          </w:tcPr>
          <w:p>
            <w:pPr>
              <w:spacing w:line="240" w:lineRule="auto"/>
            </w:pPr>
            <w:r>
              <w:rPr>
                <w:rFonts w:ascii="Arial" w:hAnsi="Arial"/>
                <w:b/>
                <w:color w:val="A43B3B"/>
                <w:sz w:val="21"/>
              </w:rPr>
              <w:t>Statutul documentului</w:t>
            </w:r>
          </w:p>
          <w:p>
            <w:pPr>
              <w:spacing w:after="0" w:line="240" w:lineRule="auto"/>
            </w:pPr>
            <w:r>
              <w:rPr>
                <w:rFonts w:ascii="Arial" w:hAnsi="Arial"/>
              </w:rPr>
              <w:t>Manual clinic de lucru pentru dezvoltarea, pilotarea și formarea echipei 7 Cărări. Modelul celor șapte cărări este un cadru clinic original aflat în validare. Documentul nu înlocuiește ghidurile de sevraj, urgență, farmacoterapie sau protocoalele instituției.</w:t>
            </w:r>
          </w:p>
        </w:tc>
      </w:tr>
    </w:tbl>
    <w:p>
      <w:pPr>
        <w:spacing w:after="20"/>
      </w:pPr>
    </w:p>
    <w:p>
      <w:pPr>
        <w:spacing w:before="360"/>
        <w:jc w:val="center"/>
      </w:pPr>
      <w:r>
        <w:rPr>
          <w:b/>
          <w:color w:val="1F2937"/>
          <w:sz w:val="20"/>
        </w:rPr>
        <w:t>Proiect: 7 Cărări / Psinaptic</w:t>
        <w:br/>
      </w:r>
      <w:r>
        <w:rPr>
          <w:b w:val="0"/>
          <w:color w:val="667085"/>
          <w:sz w:val="20"/>
        </w:rPr>
        <w:t>Coordonare conceptuală: Dr. Ovidiu Balaban-Popa</w:t>
        <w:br/>
      </w:r>
      <w:r>
        <w:rPr>
          <w:b w:val="0"/>
          <w:color w:val="667085"/>
          <w:sz w:val="20"/>
        </w:rPr>
        <w:t>Versiune: 0.2 • iulie 2026</w:t>
        <w:br/>
      </w:r>
    </w:p>
    <w:p>
      <w:r>
        <w:br w:type="page"/>
      </w:r>
    </w:p>
    <w:p>
      <w:pPr>
        <w:pStyle w:val="Heading1"/>
        <w:keepNext/>
      </w:pPr>
      <w:r>
        <w:t>0. Cum se utilizează manualul</w:t>
      </w:r>
    </w:p>
    <w:p>
      <w:pPr>
        <w:spacing w:after="70"/>
      </w:pPr>
      <w:r>
        <w:rPr>
          <w:i w:val="0"/>
        </w:rPr>
        <w:t>Manualul descrie componenta clinică a programului 7 Cărări independent de arhitectura software, modelul comercial sau directorul de specialiști. El poate fundamenta: protocolul clinic al pilotului, specificațiile funcționale ale aplicației, formarea personalului, procedurile de siguranță și evaluarea rezultatelor.</w:t>
      </w:r>
    </w:p>
    <w:tbl>
      <w:tblPr>
        <w:tblW w:type="auto" w:w="0"/>
        <w:jc w:val="center"/>
        <w:tblLayout w:type="fixed"/>
        <w:tblLook w:firstColumn="1" w:firstRow="1" w:lastColumn="0" w:lastRow="0" w:noHBand="0" w:noVBand="1" w:val="04A0"/>
      </w:tblPr>
      <w:tblGrid>
        <w:gridCol w:w="9638"/>
      </w:tblGrid>
      <w:tr>
        <w:tc>
          <w:tcPr>
            <w:tcW w:type="dxa" w:w="9411"/>
            <w:shd w:fill="FBEDEE"/>
            <w:tcBorders>
              <w:top w:val="single" w:sz="8" w:color="A43B3B"/>
              <w:left w:val="single" w:sz="8" w:color="A43B3B"/>
              <w:bottom w:val="single" w:sz="8" w:color="A43B3B"/>
              <w:right w:val="single" w:sz="8" w:color="A43B3B"/>
            </w:tcBorders>
            <w:tcMar>
              <w:top w:w="120" w:type="dxa"/>
              <w:start w:w="150" w:type="dxa"/>
              <w:bottom w:w="120" w:type="dxa"/>
              <w:end w:w="150" w:type="dxa"/>
            </w:tcMar>
            <w:vAlign w:val="top"/>
          </w:tcPr>
          <w:p>
            <w:pPr>
              <w:spacing w:line="240" w:lineRule="auto"/>
            </w:pPr>
            <w:r>
              <w:rPr>
                <w:rFonts w:ascii="Arial" w:hAnsi="Arial"/>
                <w:b/>
                <w:color w:val="A43B3B"/>
                <w:sz w:val="21"/>
              </w:rPr>
              <w:t>Limită critică</w:t>
            </w:r>
          </w:p>
          <w:p>
            <w:pPr>
              <w:spacing w:after="0" w:line="240" w:lineRule="auto"/>
            </w:pPr>
            <w:r>
              <w:rPr>
                <w:rFonts w:ascii="Arial" w:hAnsi="Arial"/>
              </w:rPr>
              <w:t>Aplicația poate structura și transmite informații, dar nu stabilește singură diagnosticul, nivelul de îngrijire, capacitatea de consimțământ, riscul suicidar sau tratamentul. Aceste decizii rămân responsabilitatea profesioniștilor autorizați.</w:t>
            </w:r>
          </w:p>
        </w:tc>
      </w:tr>
    </w:tbl>
    <w:p>
      <w:pPr>
        <w:spacing w:after="20"/>
      </w:pPr>
    </w:p>
    <w:p>
      <w:pPr>
        <w:pStyle w:val="Heading2"/>
        <w:keepNext/>
      </w:pPr>
      <w:r>
        <w:t>0.1. Populația recomandată pentru primul pilot</w:t>
      </w:r>
    </w:p>
    <w:p>
      <w:pPr>
        <w:pStyle w:val="ListBullet"/>
        <w:spacing w:after="52"/>
      </w:pPr>
      <w:r>
        <w:t>adulți cu tulburare legată de consumul de alcool, evaluați clinic;</w:t>
      </w:r>
    </w:p>
    <w:p>
      <w:pPr>
        <w:pStyle w:val="ListBullet"/>
        <w:spacing w:after="52"/>
      </w:pPr>
      <w:r>
        <w:t>clinic stabili după managementul sevrajului sau aflați într-un program ambulatoriu sigur;</w:t>
      </w:r>
    </w:p>
    <w:p>
      <w:pPr>
        <w:pStyle w:val="ListBullet"/>
        <w:spacing w:after="52"/>
      </w:pPr>
      <w:r>
        <w:t>capabili să ofere consimțământ și să folosească aplicația direct sau cu sprijin;</w:t>
      </w:r>
    </w:p>
    <w:p>
      <w:pPr>
        <w:pStyle w:val="ListBullet"/>
        <w:spacing w:after="52"/>
      </w:pPr>
      <w:r>
        <w:t>cu un profesionist sau o echipă responsabilă pentru monitorizare și escaladare.</w:t>
      </w:r>
    </w:p>
    <w:p>
      <w:pPr>
        <w:spacing w:after="70"/>
      </w:pPr>
      <w:r>
        <w:rPr>
          <w:i w:val="0"/>
        </w:rPr>
        <w:t>Extinderea la opioide, sedative, stimulente, joc patologic, adolescenți, sarcină sau dizabilitate cognitivă necesită protocoale clinice și de siguranță distincte.</w:t>
      </w:r>
    </w:p>
    <w:p>
      <w:pPr>
        <w:pStyle w:val="Heading2"/>
        <w:keepNext/>
      </w:pPr>
      <w:r>
        <w:t>0.2. Cuprins</w:t>
      </w:r>
    </w:p>
    <w:p>
      <w:pPr>
        <w:pStyle w:val="ListBullet"/>
        <w:spacing w:after="26"/>
      </w:pPr>
      <w:r>
        <w:t>1. Poziționare și scop clinic</w:t>
      </w:r>
    </w:p>
    <w:p>
      <w:pPr>
        <w:pStyle w:val="ListBullet"/>
        <w:spacing w:after="26"/>
      </w:pPr>
      <w:r>
        <w:t>2. Principii și guvernanță clinică</w:t>
      </w:r>
    </w:p>
    <w:p>
      <w:pPr>
        <w:pStyle w:val="ListBullet"/>
        <w:spacing w:after="26"/>
      </w:pPr>
      <w:r>
        <w:t>3. Eligibilitate și traseu clinic</w:t>
      </w:r>
    </w:p>
    <w:p>
      <w:pPr>
        <w:pStyle w:val="ListBullet"/>
        <w:spacing w:after="26"/>
      </w:pPr>
      <w:r>
        <w:t>4. Evaluarea inițială</w:t>
      </w:r>
    </w:p>
    <w:p>
      <w:pPr>
        <w:pStyle w:val="ListBullet"/>
        <w:spacing w:after="26"/>
      </w:pPr>
      <w:r>
        <w:t>5. Formularea clinică și alegerea cărărilor</w:t>
      </w:r>
    </w:p>
    <w:p>
      <w:pPr>
        <w:pStyle w:val="ListBullet"/>
        <w:spacing w:after="26"/>
      </w:pPr>
      <w:r>
        <w:t>6. Procedura celor șapte cărări</w:t>
      </w:r>
    </w:p>
    <w:p>
      <w:pPr>
        <w:pStyle w:val="ListBullet"/>
        <w:spacing w:after="26"/>
      </w:pPr>
      <w:r>
        <w:t>7. Planul terapeutic și monitorizarea</w:t>
      </w:r>
    </w:p>
    <w:p>
      <w:pPr>
        <w:pStyle w:val="ListBullet"/>
        <w:spacing w:after="26"/>
      </w:pPr>
      <w:r>
        <w:t>8. Siguranță și escaladare</w:t>
      </w:r>
    </w:p>
    <w:p>
      <w:pPr>
        <w:pStyle w:val="ListBullet"/>
        <w:spacing w:after="26"/>
      </w:pPr>
      <w:r>
        <w:t>9. Alunecare, recădere și revenire</w:t>
      </w:r>
    </w:p>
    <w:p>
      <w:pPr>
        <w:pStyle w:val="ListBullet"/>
        <w:spacing w:after="26"/>
      </w:pPr>
      <w:r>
        <w:t>10. Grupuri, familie și peer support</w:t>
      </w:r>
    </w:p>
    <w:p>
      <w:pPr>
        <w:pStyle w:val="ListBullet"/>
        <w:spacing w:after="26"/>
      </w:pPr>
      <w:r>
        <w:t>11. Companionul digital și chatbotul</w:t>
      </w:r>
    </w:p>
    <w:p>
      <w:pPr>
        <w:pStyle w:val="ListBullet"/>
        <w:spacing w:after="26"/>
      </w:pPr>
      <w:r>
        <w:t>12. Documentarea clinică</w:t>
      </w:r>
    </w:p>
    <w:p>
      <w:pPr>
        <w:pStyle w:val="ListBullet"/>
        <w:spacing w:after="26"/>
      </w:pPr>
      <w:r>
        <w:t>13. Rolurile echipei și supervizarea</w:t>
      </w:r>
    </w:p>
    <w:p>
      <w:pPr>
        <w:pStyle w:val="ListBullet"/>
        <w:spacing w:after="26"/>
      </w:pPr>
      <w:r>
        <w:t>14. Tranziția și întreținerea</w:t>
      </w:r>
    </w:p>
    <w:p>
      <w:pPr>
        <w:pStyle w:val="ListBullet"/>
        <w:spacing w:after="26"/>
      </w:pPr>
      <w:r>
        <w:t>15. Calitate, audit și validare</w:t>
      </w:r>
    </w:p>
    <w:p>
      <w:pPr>
        <w:pStyle w:val="ListBullet"/>
        <w:spacing w:after="26"/>
      </w:pPr>
      <w:r>
        <w:t>Anexe clinice și formulare</w:t>
      </w:r>
    </w:p>
    <w:p>
      <w:pPr>
        <w:pStyle w:val="Heading1"/>
        <w:keepNext/>
        <w:pageBreakBefore/>
      </w:pPr>
      <w:r>
        <w:t>1. Poziționare și scop clinic</w:t>
      </w:r>
    </w:p>
    <w:p>
      <w:pPr>
        <w:pStyle w:val="Heading2"/>
        <w:keepNext/>
      </w:pPr>
      <w:r>
        <w:t>1.1. Definiția clinică</w:t>
      </w:r>
    </w:p>
    <w:p>
      <w:pPr>
        <w:spacing w:after="70"/>
      </w:pPr>
      <w:r>
        <w:rPr>
          <w:i w:val="0"/>
        </w:rPr>
        <w:t>7 Cărări este un cadru de recovery management care ajută pacientul și echipa să transforme evaluarea multidimensională într-un traseu personalizat, etapizat și revizuibil. Programul conectează stabilizarea medicală, intervențiile psihologice, sprijinul comunitar, ritmul de viață, sensul, activitatea și reconstrucția socială.</w:t>
      </w:r>
    </w:p>
    <w:p>
      <w:pPr>
        <w:pStyle w:val="Heading2"/>
        <w:keepNext/>
      </w:pPr>
      <w:r>
        <w:t>1.2. Ce este</w:t>
      </w:r>
    </w:p>
    <w:p>
      <w:pPr>
        <w:pStyle w:val="ListBullet"/>
        <w:spacing w:after="52"/>
      </w:pPr>
      <w:r>
        <w:t>un cadru de formulare și planificare centrat pe persoană;</w:t>
      </w:r>
    </w:p>
    <w:p>
      <w:pPr>
        <w:pStyle w:val="ListBullet"/>
        <w:spacing w:after="52"/>
      </w:pPr>
      <w:r>
        <w:t>un program de continuitate între consultații și după externare;</w:t>
      </w:r>
    </w:p>
    <w:p>
      <w:pPr>
        <w:pStyle w:val="ListBullet"/>
        <w:spacing w:after="52"/>
      </w:pPr>
      <w:r>
        <w:t>un sistem de coordonare a intervențiilor individuale, de grup, familiale și sociale;</w:t>
      </w:r>
    </w:p>
    <w:p>
      <w:pPr>
        <w:pStyle w:val="ListBullet"/>
        <w:spacing w:after="52"/>
      </w:pPr>
      <w:r>
        <w:t>un mod de a urmări obiective, participare, siguranță și rezultate funcționale;</w:t>
      </w:r>
    </w:p>
    <w:p>
      <w:pPr>
        <w:pStyle w:val="ListBullet"/>
        <w:spacing w:after="52"/>
      </w:pPr>
      <w:r>
        <w:t>o interfață comună pentru pacient și echipa multidisciplinară.</w:t>
      </w:r>
    </w:p>
    <w:p>
      <w:pPr>
        <w:pStyle w:val="Heading2"/>
        <w:keepNext/>
      </w:pPr>
      <w:r>
        <w:t>1.3. Ce nu este</w:t>
      </w:r>
    </w:p>
    <w:p>
      <w:pPr>
        <w:pStyle w:val="ListBullet"/>
        <w:spacing w:after="52"/>
      </w:pPr>
      <w:r>
        <w:t>instrument validat de diagnostic sau de stabilire a nivelului de îngrijire;</w:t>
      </w:r>
    </w:p>
    <w:p>
      <w:pPr>
        <w:pStyle w:val="ListBullet"/>
        <w:spacing w:after="52"/>
      </w:pPr>
      <w:r>
        <w:t>alternativă la managementul sevrajului sau al urgențelor;</w:t>
      </w:r>
    </w:p>
    <w:p>
      <w:pPr>
        <w:pStyle w:val="ListBullet"/>
        <w:spacing w:after="52"/>
      </w:pPr>
      <w:r>
        <w:t>psihoterapie unică ori protocol farmacologic;</w:t>
      </w:r>
    </w:p>
    <w:p>
      <w:pPr>
        <w:pStyle w:val="ListBullet"/>
        <w:spacing w:after="52"/>
      </w:pPr>
      <w:r>
        <w:t>algoritm care alege automat tratamentul;</w:t>
      </w:r>
    </w:p>
    <w:p>
      <w:pPr>
        <w:pStyle w:val="ListBullet"/>
        <w:spacing w:after="52"/>
      </w:pPr>
      <w:r>
        <w:t>program exclusiv spiritual sau de autoajutor;</w:t>
      </w:r>
    </w:p>
    <w:p>
      <w:pPr>
        <w:pStyle w:val="ListBullet"/>
        <w:spacing w:after="52"/>
      </w:pPr>
      <w:r>
        <w:t>serviciu de monitorizare continuă 24/7.</w:t>
      </w:r>
    </w:p>
    <w:p>
      <w:pPr>
        <w:pStyle w:val="Heading2"/>
        <w:keepNext/>
      </w:pPr>
      <w:r>
        <w:t>1.4. Obiective clinice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85" w:type="dxa"/>
              <w:start w:w="90" w:type="dxa"/>
              <w:bottom w:w="85" w:type="dxa"/>
              <w:end w:w="90" w:type="dxa"/>
            </w:tcMar>
            <w:vAlign w:val="top"/>
          </w:tcPr>
          <w:p>
            <w:pPr>
              <w:spacing w:line="240" w:lineRule="auto"/>
            </w:pPr>
            <w:r>
              <w:rPr>
                <w:rFonts w:ascii="Arial" w:hAnsi="Arial"/>
                <w:b/>
                <w:color w:val="FFFFFF"/>
                <w:sz w:val="17"/>
              </w:rPr>
              <w:t>Obiectiv</w:t>
            </w:r>
          </w:p>
        </w:tc>
        <w:tc>
          <w:tcPr>
            <w:tcW w:type="dxa" w:w="7143"/>
            <w:shd w:fill="17324D"/>
            <w:tcMar>
              <w:top w:w="85" w:type="dxa"/>
              <w:start w:w="90" w:type="dxa"/>
              <w:bottom w:w="85" w:type="dxa"/>
              <w:end w:w="90" w:type="dxa"/>
            </w:tcMar>
            <w:vAlign w:val="top"/>
          </w:tcPr>
          <w:p>
            <w:pPr>
              <w:spacing w:line="240" w:lineRule="auto"/>
            </w:pPr>
            <w:r>
              <w:rPr>
                <w:rFonts w:ascii="Arial" w:hAnsi="Arial"/>
                <w:b/>
                <w:color w:val="FFFFFF"/>
                <w:sz w:val="17"/>
              </w:rPr>
              <w:t>Rezultat urmărit</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Siguranță</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identificarea rapidă a situațiilor ce necesită evaluare, transfer sau intensificarea îngrijirii</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Engagement</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creșterea participării prin alegere colaborativă și obiective relevante pentru pacient</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Continuitate</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reducerea fragmentării dintre sevraj, tratament, grupuri, familie și viața cotidiană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Funcționare</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ameliorarea somnului, relațiilor, locuirii, ocupației, autoîngrijirii și calității vieții</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Prevenirea recăderii</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identificarea precoce a semnelor, acces rapid la sprijin și plan clar de revenire</w:t>
            </w:r>
          </w:p>
        </w:tc>
      </w:tr>
    </w:tbl>
    <w:p>
      <w:pPr>
        <w:spacing w:after="20"/>
      </w:pPr>
    </w:p>
    <w:p>
      <w:pPr>
        <w:pStyle w:val="Heading1"/>
        <w:keepNext/>
      </w:pPr>
      <w:r>
        <w:t>2. Principii și guvernanță clinică</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85" w:type="dxa"/>
              <w:start w:w="90" w:type="dxa"/>
              <w:bottom w:w="85" w:type="dxa"/>
              <w:end w:w="90" w:type="dxa"/>
            </w:tcMar>
            <w:vAlign w:val="top"/>
          </w:tcPr>
          <w:p>
            <w:pPr>
              <w:spacing w:line="240" w:lineRule="auto"/>
            </w:pPr>
            <w:r>
              <w:rPr>
                <w:rFonts w:ascii="Arial" w:hAnsi="Arial"/>
                <w:b/>
                <w:color w:val="FFFFFF"/>
                <w:sz w:val="17"/>
              </w:rPr>
              <w:t>Principiu</w:t>
            </w:r>
          </w:p>
        </w:tc>
        <w:tc>
          <w:tcPr>
            <w:tcW w:type="dxa" w:w="7143"/>
            <w:shd w:fill="17324D"/>
            <w:tcMar>
              <w:top w:w="85" w:type="dxa"/>
              <w:start w:w="90" w:type="dxa"/>
              <w:bottom w:w="85" w:type="dxa"/>
              <w:end w:w="90" w:type="dxa"/>
            </w:tcMar>
            <w:vAlign w:val="top"/>
          </w:tcPr>
          <w:p>
            <w:pPr>
              <w:spacing w:line="240" w:lineRule="auto"/>
            </w:pPr>
            <w:r>
              <w:rPr>
                <w:rFonts w:ascii="Arial" w:hAnsi="Arial"/>
                <w:b/>
                <w:color w:val="FFFFFF"/>
                <w:sz w:val="17"/>
              </w:rPr>
              <w:t>Aplicare</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Centrare pe persoană</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preferințele și valorile pacientului sunt integrate fără a relativiza riscurile medicale.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Decizie comună</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clinicianul aduce evaluarea și opțiunile; pacientul aduce obiectivele, experiența și prioritățile.</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Îngrijire multidimensională</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adicția este abordată împreună cu sănătatea mintală, corpul, relațiile și mediul de viață.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Strengths-based</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evaluarea documentează resursele și capitalul de recuperare, nu doar deficitele.</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Continuum de îngrijire</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planul este adaptat pe măsură ce severitatea, motivația și mediul se schimbă.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Trauma-informed</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se evită coerciția, rușinarea și explorarea prematură a traumei destabilizante.</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Reducerea stigmei</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limbajul descrie comportamente și nevoi, nu identități degradante.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Măsurare prudentă</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scorurile susțin conversația; nu înlocuiesc judecata clinică.</w:t>
            </w:r>
          </w:p>
        </w:tc>
      </w:tr>
    </w:tbl>
    <w:p>
      <w:pPr>
        <w:spacing w:after="20"/>
      </w:pPr>
    </w:p>
    <w:p>
      <w:pPr>
        <w:pStyle w:val="Heading2"/>
        <w:keepNext/>
      </w:pPr>
      <w:r>
        <w:t>2.1. Niveluri de autoritate clinică</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701"/>
            <w:shd w:fill="17324D"/>
            <w:tcMar>
              <w:top w:w="85" w:type="dxa"/>
              <w:start w:w="90" w:type="dxa"/>
              <w:bottom w:w="85" w:type="dxa"/>
              <w:end w:w="90" w:type="dxa"/>
            </w:tcMar>
            <w:vAlign w:val="top"/>
          </w:tcPr>
          <w:p>
            <w:pPr>
              <w:spacing w:line="240" w:lineRule="auto"/>
            </w:pPr>
            <w:r>
              <w:rPr>
                <w:rFonts w:ascii="Arial" w:hAnsi="Arial"/>
                <w:b/>
                <w:color w:val="FFFFFF"/>
                <w:sz w:val="17"/>
              </w:rPr>
              <w:t>Nivel</w:t>
            </w:r>
          </w:p>
        </w:tc>
        <w:tc>
          <w:tcPr>
            <w:tcW w:type="dxa" w:w="4252"/>
            <w:shd w:fill="17324D"/>
            <w:tcMar>
              <w:top w:w="85" w:type="dxa"/>
              <w:start w:w="90" w:type="dxa"/>
              <w:bottom w:w="85" w:type="dxa"/>
              <w:end w:w="90" w:type="dxa"/>
            </w:tcMar>
            <w:vAlign w:val="top"/>
          </w:tcPr>
          <w:p>
            <w:pPr>
              <w:spacing w:line="240" w:lineRule="auto"/>
            </w:pPr>
            <w:r>
              <w:rPr>
                <w:rFonts w:ascii="Arial" w:hAnsi="Arial"/>
                <w:b/>
                <w:color w:val="FFFFFF"/>
                <w:sz w:val="17"/>
              </w:rPr>
              <w:t>Exemple</w:t>
            </w:r>
          </w:p>
        </w:tc>
        <w:tc>
          <w:tcPr>
            <w:tcW w:type="dxa" w:w="3458"/>
            <w:shd w:fill="17324D"/>
            <w:tcMar>
              <w:top w:w="85" w:type="dxa"/>
              <w:start w:w="90" w:type="dxa"/>
              <w:bottom w:w="85" w:type="dxa"/>
              <w:end w:w="90" w:type="dxa"/>
            </w:tcMar>
            <w:vAlign w:val="top"/>
          </w:tcPr>
          <w:p>
            <w:pPr>
              <w:spacing w:line="240" w:lineRule="auto"/>
            </w:pPr>
            <w:r>
              <w:rPr>
                <w:rFonts w:ascii="Arial" w:hAnsi="Arial"/>
                <w:b/>
                <w:color w:val="FFFFFF"/>
                <w:sz w:val="17"/>
              </w:rPr>
              <w:t>Cine decide</w:t>
            </w:r>
          </w:p>
        </w:tc>
      </w:tr>
      <w:tr>
        <w:tc>
          <w:tcPr>
            <w:tcW w:type="dxa" w:w="1701"/>
            <w:tcMar>
              <w:top w:w="70" w:type="dxa"/>
              <w:start w:w="75" w:type="dxa"/>
              <w:bottom w:w="70" w:type="dxa"/>
              <w:end w:w="75" w:type="dxa"/>
            </w:tcMar>
            <w:vAlign w:val="top"/>
          </w:tcPr>
          <w:p>
            <w:pPr>
              <w:spacing w:after="0" w:line="240" w:lineRule="auto"/>
            </w:pPr>
            <w:r>
              <w:rPr>
                <w:rFonts w:ascii="Arial" w:hAnsi="Arial"/>
                <w:b/>
                <w:sz w:val="17"/>
              </w:rPr>
              <w:t>Automatizabil</w:t>
            </w:r>
          </w:p>
        </w:tc>
        <w:tc>
          <w:tcPr>
            <w:tcW w:type="dxa" w:w="4252"/>
            <w:tcMar>
              <w:top w:w="70" w:type="dxa"/>
              <w:start w:w="75" w:type="dxa"/>
              <w:bottom w:w="70" w:type="dxa"/>
              <w:end w:w="75" w:type="dxa"/>
            </w:tcMar>
            <w:vAlign w:val="top"/>
          </w:tcPr>
          <w:p>
            <w:pPr>
              <w:spacing w:after="0" w:line="240" w:lineRule="auto"/>
            </w:pPr>
            <w:r>
              <w:rPr>
                <w:rFonts w:ascii="Arial" w:hAnsi="Arial"/>
                <w:b w:val="0"/>
                <w:sz w:val="17"/>
              </w:rPr>
              <w:t>reminder, calcul de scor, afișarea unui material, sarcină administrativă</w:t>
            </w:r>
          </w:p>
        </w:tc>
        <w:tc>
          <w:tcPr>
            <w:tcW w:type="dxa" w:w="3458"/>
            <w:tcMar>
              <w:top w:w="70" w:type="dxa"/>
              <w:start w:w="75" w:type="dxa"/>
              <w:bottom w:w="70" w:type="dxa"/>
              <w:end w:w="75" w:type="dxa"/>
            </w:tcMar>
            <w:vAlign w:val="top"/>
          </w:tcPr>
          <w:p>
            <w:pPr>
              <w:spacing w:after="0" w:line="240" w:lineRule="auto"/>
            </w:pPr>
            <w:r>
              <w:rPr>
                <w:rFonts w:ascii="Arial" w:hAnsi="Arial"/>
                <w:b w:val="0"/>
                <w:sz w:val="17"/>
              </w:rPr>
              <w:t>sistemul, după reguli aprobate</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7"/>
              </w:rPr>
              <w:t>Asistat</w:t>
            </w:r>
          </w:p>
        </w:tc>
        <w:tc>
          <w:tcPr>
            <w:tcW w:type="dxa" w:w="4252"/>
            <w:tcMar>
              <w:top w:w="70" w:type="dxa"/>
              <w:start w:w="75" w:type="dxa"/>
              <w:bottom w:w="70" w:type="dxa"/>
              <w:end w:w="75" w:type="dxa"/>
            </w:tcMar>
            <w:vAlign w:val="top"/>
            <w:shd w:fill="F9FBFC"/>
          </w:tcPr>
          <w:p>
            <w:pPr>
              <w:spacing w:after="0" w:line="240" w:lineRule="auto"/>
            </w:pPr>
            <w:r>
              <w:rPr>
                <w:rFonts w:ascii="Arial" w:hAnsi="Arial"/>
                <w:b w:val="0"/>
                <w:sz w:val="17"/>
              </w:rPr>
              <w:t>propunerea unei cărări, semnalarea unei schimbări, rezumatul răspunsurilor</w:t>
            </w:r>
          </w:p>
        </w:tc>
        <w:tc>
          <w:tcPr>
            <w:tcW w:type="dxa" w:w="3458"/>
            <w:tcMar>
              <w:top w:w="70" w:type="dxa"/>
              <w:start w:w="75" w:type="dxa"/>
              <w:bottom w:w="70" w:type="dxa"/>
              <w:end w:w="75" w:type="dxa"/>
            </w:tcMar>
            <w:vAlign w:val="top"/>
            <w:shd w:fill="F9FBFC"/>
          </w:tcPr>
          <w:p>
            <w:pPr>
              <w:spacing w:after="0" w:line="240" w:lineRule="auto"/>
            </w:pPr>
            <w:r>
              <w:rPr>
                <w:rFonts w:ascii="Arial" w:hAnsi="Arial"/>
                <w:b w:val="0"/>
                <w:sz w:val="17"/>
              </w:rPr>
              <w:t>clinicianul validează</w:t>
            </w:r>
          </w:p>
        </w:tc>
      </w:tr>
      <w:tr>
        <w:tc>
          <w:tcPr>
            <w:tcW w:type="dxa" w:w="1701"/>
            <w:tcMar>
              <w:top w:w="70" w:type="dxa"/>
              <w:start w:w="75" w:type="dxa"/>
              <w:bottom w:w="70" w:type="dxa"/>
              <w:end w:w="75" w:type="dxa"/>
            </w:tcMar>
            <w:vAlign w:val="top"/>
          </w:tcPr>
          <w:p>
            <w:pPr>
              <w:spacing w:after="0" w:line="240" w:lineRule="auto"/>
            </w:pPr>
            <w:r>
              <w:rPr>
                <w:rFonts w:ascii="Arial" w:hAnsi="Arial"/>
                <w:b/>
                <w:sz w:val="17"/>
              </w:rPr>
              <w:t>Exclusiv uman</w:t>
            </w:r>
          </w:p>
        </w:tc>
        <w:tc>
          <w:tcPr>
            <w:tcW w:type="dxa" w:w="4252"/>
            <w:tcMar>
              <w:top w:w="70" w:type="dxa"/>
              <w:start w:w="75" w:type="dxa"/>
              <w:bottom w:w="70" w:type="dxa"/>
              <w:end w:w="75" w:type="dxa"/>
            </w:tcMar>
            <w:vAlign w:val="top"/>
          </w:tcPr>
          <w:p>
            <w:pPr>
              <w:spacing w:after="0" w:line="240" w:lineRule="auto"/>
            </w:pPr>
            <w:r>
              <w:rPr>
                <w:rFonts w:ascii="Arial" w:hAnsi="Arial"/>
                <w:b w:val="0"/>
                <w:sz w:val="17"/>
              </w:rPr>
              <w:t>diagnostic, nivel de îngrijire, risc, tratament, externare, intervenție în criză</w:t>
            </w:r>
          </w:p>
        </w:tc>
        <w:tc>
          <w:tcPr>
            <w:tcW w:type="dxa" w:w="3458"/>
            <w:tcMar>
              <w:top w:w="70" w:type="dxa"/>
              <w:start w:w="75" w:type="dxa"/>
              <w:bottom w:w="70" w:type="dxa"/>
              <w:end w:w="75" w:type="dxa"/>
            </w:tcMar>
            <w:vAlign w:val="top"/>
          </w:tcPr>
          <w:p>
            <w:pPr>
              <w:spacing w:after="0" w:line="240" w:lineRule="auto"/>
            </w:pPr>
            <w:r>
              <w:rPr>
                <w:rFonts w:ascii="Arial" w:hAnsi="Arial"/>
                <w:b w:val="0"/>
                <w:sz w:val="17"/>
              </w:rPr>
              <w:t>profesionistul autorizat</w:t>
            </w:r>
          </w:p>
        </w:tc>
      </w:tr>
    </w:tbl>
    <w:p>
      <w:pPr>
        <w:spacing w:after="20"/>
      </w:pPr>
    </w:p>
    <w:p>
      <w:pPr>
        <w:pStyle w:val="Heading2"/>
        <w:keepNext/>
      </w:pPr>
      <w:r>
        <w:t>2.2. Guvernanța protocolului</w:t>
      </w:r>
    </w:p>
    <w:p>
      <w:pPr>
        <w:pStyle w:val="ListBullet"/>
        <w:spacing w:after="52"/>
      </w:pPr>
      <w:r>
        <w:t>coordonator clinic desemnat;</w:t>
      </w:r>
    </w:p>
    <w:p>
      <w:pPr>
        <w:pStyle w:val="ListBullet"/>
        <w:spacing w:after="52"/>
      </w:pPr>
      <w:r>
        <w:t>versiune și dată de revizie pentru fiecare procedură;</w:t>
      </w:r>
    </w:p>
    <w:p>
      <w:pPr>
        <w:pStyle w:val="ListBullet"/>
        <w:spacing w:after="52"/>
      </w:pPr>
      <w:r>
        <w:t>responsabil clar pentru alerte în fiecare interval orar;</w:t>
      </w:r>
    </w:p>
    <w:p>
      <w:pPr>
        <w:pStyle w:val="ListBullet"/>
        <w:spacing w:after="52"/>
      </w:pPr>
      <w:r>
        <w:t>supervizare și analiză periodică a cazurilor;</w:t>
      </w:r>
    </w:p>
    <w:p>
      <w:pPr>
        <w:pStyle w:val="ListBullet"/>
        <w:spacing w:after="52"/>
      </w:pPr>
      <w:r>
        <w:t>registru de incidente și schimbări;</w:t>
      </w:r>
    </w:p>
    <w:p>
      <w:pPr>
        <w:pStyle w:val="ListBullet"/>
        <w:spacing w:after="52"/>
      </w:pPr>
      <w:r>
        <w:t>revizuirea conținutului de către profesioniști cu competență relevantă;</w:t>
      </w:r>
    </w:p>
    <w:p>
      <w:pPr>
        <w:pStyle w:val="ListBullet"/>
        <w:spacing w:after="52"/>
      </w:pPr>
      <w:r>
        <w:t>participarea pacienților sau a persoanelor cu experiență trăită la evaluarea acceptabilității.</w:t>
      </w:r>
    </w:p>
    <w:p>
      <w:pPr>
        <w:pStyle w:val="Heading1"/>
        <w:keepNext/>
      </w:pPr>
      <w:r>
        <w:t>3. Eligibilitate și traseu clinic</w:t>
      </w:r>
    </w:p>
    <w:tbl>
      <w:tblPr>
        <w:tblW w:type="auto" w:w="0"/>
        <w:jc w:val="center"/>
        <w:tblLayout w:type="fixed"/>
        <w:tblLook w:firstColumn="1" w:firstRow="1" w:lastColumn="0" w:lastRow="0" w:noHBand="0" w:noVBand="1" w:val="04A0"/>
      </w:tblPr>
      <w:tblGrid>
        <w:gridCol w:w="1205"/>
        <w:gridCol w:w="1205"/>
        <w:gridCol w:w="1205"/>
        <w:gridCol w:w="1205"/>
        <w:gridCol w:w="1205"/>
        <w:gridCol w:w="1205"/>
        <w:gridCol w:w="1205"/>
        <w:gridCol w:w="1205"/>
      </w:tblGrid>
      <w:tr>
        <w:tc>
          <w:tcPr>
            <w:tcW w:type="dxa" w:w="1176"/>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1</w:t>
              <w:br/>
            </w:r>
            <w:r>
              <w:rPr>
                <w:rFonts w:ascii="Arial" w:hAnsi="Arial"/>
                <w:sz w:val="16"/>
              </w:rPr>
              <w:t>Acces</w:t>
            </w:r>
          </w:p>
        </w:tc>
        <w:tc>
          <w:tcPr>
            <w:tcW w:type="dxa" w:w="1176"/>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2</w:t>
              <w:br/>
            </w:r>
            <w:r>
              <w:rPr>
                <w:rFonts w:ascii="Arial" w:hAnsi="Arial"/>
                <w:sz w:val="16"/>
              </w:rPr>
              <w:t>Poartă de siguranță</w:t>
            </w:r>
          </w:p>
        </w:tc>
        <w:tc>
          <w:tcPr>
            <w:tcW w:type="dxa" w:w="1176"/>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3</w:t>
              <w:br/>
            </w:r>
            <w:r>
              <w:rPr>
                <w:rFonts w:ascii="Arial" w:hAnsi="Arial"/>
                <w:sz w:val="16"/>
              </w:rPr>
              <w:t>Evaluare</w:t>
            </w:r>
          </w:p>
        </w:tc>
        <w:tc>
          <w:tcPr>
            <w:tcW w:type="dxa" w:w="1176"/>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4</w:t>
              <w:br/>
            </w:r>
            <w:r>
              <w:rPr>
                <w:rFonts w:ascii="Arial" w:hAnsi="Arial"/>
                <w:sz w:val="16"/>
              </w:rPr>
              <w:t>Formulare</w:t>
            </w:r>
          </w:p>
        </w:tc>
        <w:tc>
          <w:tcPr>
            <w:tcW w:type="dxa" w:w="1176"/>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5</w:t>
              <w:br/>
            </w:r>
            <w:r>
              <w:rPr>
                <w:rFonts w:ascii="Arial" w:hAnsi="Arial"/>
                <w:sz w:val="16"/>
              </w:rPr>
              <w:t>Plan</w:t>
            </w:r>
          </w:p>
        </w:tc>
        <w:tc>
          <w:tcPr>
            <w:tcW w:type="dxa" w:w="1176"/>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6</w:t>
              <w:br/>
            </w:r>
            <w:r>
              <w:rPr>
                <w:rFonts w:ascii="Arial" w:hAnsi="Arial"/>
                <w:sz w:val="16"/>
              </w:rPr>
              <w:t>Intervenție</w:t>
            </w:r>
          </w:p>
        </w:tc>
        <w:tc>
          <w:tcPr>
            <w:tcW w:type="dxa" w:w="1176"/>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7</w:t>
              <w:br/>
            </w:r>
            <w:r>
              <w:rPr>
                <w:rFonts w:ascii="Arial" w:hAnsi="Arial"/>
                <w:sz w:val="16"/>
              </w:rPr>
              <w:t>Reevaluare</w:t>
            </w:r>
          </w:p>
        </w:tc>
        <w:tc>
          <w:tcPr>
            <w:tcW w:type="dxa" w:w="1176"/>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8</w:t>
              <w:br/>
            </w:r>
            <w:r>
              <w:rPr>
                <w:rFonts w:ascii="Arial" w:hAnsi="Arial"/>
                <w:sz w:val="16"/>
              </w:rPr>
              <w:t>Întreținere</w:t>
            </w:r>
          </w:p>
        </w:tc>
      </w:tr>
    </w:tbl>
    <w:p>
      <w:pPr>
        <w:spacing w:after="40"/>
      </w:pPr>
    </w:p>
    <w:p>
      <w:pPr>
        <w:pStyle w:val="Heading2"/>
        <w:keepNext/>
      </w:pPr>
      <w:r>
        <w:t>3.1. Căi de acces</w:t>
      </w:r>
    </w:p>
    <w:p>
      <w:pPr>
        <w:pStyle w:val="ListBullet"/>
        <w:spacing w:after="52"/>
      </w:pPr>
      <w:r>
        <w:t>trimitere după internare sau sevraj;</w:t>
      </w:r>
    </w:p>
    <w:p>
      <w:pPr>
        <w:pStyle w:val="ListBullet"/>
        <w:spacing w:after="52"/>
      </w:pPr>
      <w:r>
        <w:t>trimitere din ambulatoriu;</w:t>
      </w:r>
    </w:p>
    <w:p>
      <w:pPr>
        <w:pStyle w:val="ListBullet"/>
        <w:spacing w:after="52"/>
      </w:pPr>
      <w:r>
        <w:t>invitație de la psihiatru, psiholog sau clinică;</w:t>
      </w:r>
    </w:p>
    <w:p>
      <w:pPr>
        <w:pStyle w:val="ListBullet"/>
        <w:spacing w:after="52"/>
      </w:pPr>
      <w:r>
        <w:t>solicitare proprie urmată obligatoriu de stabilirea nivelului de acces clinic.</w:t>
      </w:r>
    </w:p>
    <w:p>
      <w:pPr>
        <w:pStyle w:val="Heading2"/>
        <w:keepNext/>
      </w:pPr>
      <w:r>
        <w:t>3.2. Criterii de includere în programul clinic</w:t>
      </w:r>
    </w:p>
    <w:p>
      <w:pPr>
        <w:pStyle w:val="ListBullet"/>
        <w:spacing w:after="52"/>
      </w:pPr>
      <w:r>
        <w:t>diagnostic sau suspiciune clinică justificată de tulburare legată de consum;</w:t>
      </w:r>
    </w:p>
    <w:p>
      <w:pPr>
        <w:pStyle w:val="ListBullet"/>
        <w:spacing w:after="52"/>
      </w:pPr>
      <w:r>
        <w:t>nevoie de recovery management și continuitate;</w:t>
      </w:r>
    </w:p>
    <w:p>
      <w:pPr>
        <w:pStyle w:val="ListBullet"/>
        <w:spacing w:after="52"/>
      </w:pPr>
      <w:r>
        <w:t>stabilitate suficientă pentru participarea la plan;</w:t>
      </w:r>
    </w:p>
    <w:p>
      <w:pPr>
        <w:pStyle w:val="ListBullet"/>
        <w:spacing w:after="52"/>
      </w:pPr>
      <w:r>
        <w:t>existența unui clinician sau a unei echipe responsabile;</w:t>
      </w:r>
    </w:p>
    <w:p>
      <w:pPr>
        <w:pStyle w:val="ListBullet"/>
        <w:spacing w:after="52"/>
      </w:pPr>
      <w:r>
        <w:t>capacitatea de consimțământ ori reprezentare legală adecvată;</w:t>
      </w:r>
    </w:p>
    <w:p>
      <w:pPr>
        <w:pStyle w:val="ListBullet"/>
        <w:spacing w:after="52"/>
      </w:pPr>
      <w:r>
        <w:t>acceptarea limitelor și a regulilor programului.</w:t>
      </w:r>
    </w:p>
    <w:p>
      <w:pPr>
        <w:pStyle w:val="Heading2"/>
        <w:keepNext/>
      </w:pPr>
      <w:r>
        <w:t>3.3. Situații de amânare, transfer sau acces limitat</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3969"/>
            <w:shd w:fill="17324D"/>
            <w:tcMar>
              <w:top w:w="85" w:type="dxa"/>
              <w:start w:w="90" w:type="dxa"/>
              <w:bottom w:w="85" w:type="dxa"/>
              <w:end w:w="90" w:type="dxa"/>
            </w:tcMar>
            <w:vAlign w:val="top"/>
          </w:tcPr>
          <w:p>
            <w:pPr>
              <w:spacing w:line="240" w:lineRule="auto"/>
            </w:pPr>
            <w:r>
              <w:rPr>
                <w:rFonts w:ascii="Arial" w:hAnsi="Arial"/>
                <w:b/>
                <w:color w:val="FFFFFF"/>
                <w:sz w:val="17"/>
              </w:rPr>
              <w:t>Situație</w:t>
            </w:r>
          </w:p>
        </w:tc>
        <w:tc>
          <w:tcPr>
            <w:tcW w:type="dxa" w:w="5443"/>
            <w:shd w:fill="17324D"/>
            <w:tcMar>
              <w:top w:w="85" w:type="dxa"/>
              <w:start w:w="90" w:type="dxa"/>
              <w:bottom w:w="85" w:type="dxa"/>
              <w:end w:w="90" w:type="dxa"/>
            </w:tcMar>
            <w:vAlign w:val="top"/>
          </w:tcPr>
          <w:p>
            <w:pPr>
              <w:spacing w:line="240" w:lineRule="auto"/>
            </w:pPr>
            <w:r>
              <w:rPr>
                <w:rFonts w:ascii="Arial" w:hAnsi="Arial"/>
                <w:b/>
                <w:color w:val="FFFFFF"/>
                <w:sz w:val="17"/>
              </w:rPr>
              <w:t>Acțiune</w:t>
            </w:r>
          </w:p>
        </w:tc>
      </w:tr>
      <w:tr>
        <w:tc>
          <w:tcPr>
            <w:tcW w:type="dxa" w:w="3969"/>
            <w:tcMar>
              <w:top w:w="70" w:type="dxa"/>
              <w:start w:w="75" w:type="dxa"/>
              <w:bottom w:w="70" w:type="dxa"/>
              <w:end w:w="75" w:type="dxa"/>
            </w:tcMar>
            <w:vAlign w:val="top"/>
          </w:tcPr>
          <w:p>
            <w:pPr>
              <w:spacing w:after="0" w:line="240" w:lineRule="auto"/>
            </w:pPr>
            <w:r>
              <w:rPr>
                <w:rFonts w:ascii="Arial" w:hAnsi="Arial"/>
                <w:b/>
                <w:sz w:val="17"/>
              </w:rPr>
              <w:t>intoxicație acută, supradoză sau sevraj sever</w:t>
            </w:r>
          </w:p>
        </w:tc>
        <w:tc>
          <w:tcPr>
            <w:tcW w:type="dxa" w:w="5443"/>
            <w:tcMar>
              <w:top w:w="70" w:type="dxa"/>
              <w:start w:w="75" w:type="dxa"/>
              <w:bottom w:w="70" w:type="dxa"/>
              <w:end w:w="75" w:type="dxa"/>
            </w:tcMar>
            <w:vAlign w:val="top"/>
          </w:tcPr>
          <w:p>
            <w:pPr>
              <w:spacing w:after="0" w:line="240" w:lineRule="auto"/>
            </w:pPr>
            <w:r>
              <w:rPr>
                <w:rFonts w:ascii="Arial" w:hAnsi="Arial"/>
                <w:b w:val="0"/>
                <w:sz w:val="17"/>
              </w:rPr>
              <w:t>evaluare urgentă; programul se amână până la stabilizare</w:t>
            </w:r>
          </w:p>
        </w:tc>
      </w:tr>
      <w:tr>
        <w:tc>
          <w:tcPr>
            <w:tcW w:type="dxa" w:w="3969"/>
            <w:tcMar>
              <w:top w:w="70" w:type="dxa"/>
              <w:start w:w="75" w:type="dxa"/>
              <w:bottom w:w="70" w:type="dxa"/>
              <w:end w:w="75" w:type="dxa"/>
            </w:tcMar>
            <w:vAlign w:val="top"/>
            <w:shd w:fill="F9FBFC"/>
          </w:tcPr>
          <w:p>
            <w:pPr>
              <w:spacing w:after="0" w:line="240" w:lineRule="auto"/>
            </w:pPr>
            <w:r>
              <w:rPr>
                <w:rFonts w:ascii="Arial" w:hAnsi="Arial"/>
                <w:b/>
                <w:sz w:val="17"/>
              </w:rPr>
              <w:t>risc suicidar/violent acut, psihoză severă, delir sau manie severă</w:t>
            </w:r>
          </w:p>
        </w:tc>
        <w:tc>
          <w:tcPr>
            <w:tcW w:type="dxa" w:w="5443"/>
            <w:tcMar>
              <w:top w:w="70" w:type="dxa"/>
              <w:start w:w="75" w:type="dxa"/>
              <w:bottom w:w="70" w:type="dxa"/>
              <w:end w:w="75" w:type="dxa"/>
            </w:tcMar>
            <w:vAlign w:val="top"/>
            <w:shd w:fill="F9FBFC"/>
          </w:tcPr>
          <w:p>
            <w:pPr>
              <w:spacing w:after="0" w:line="240" w:lineRule="auto"/>
            </w:pPr>
            <w:r>
              <w:rPr>
                <w:rFonts w:ascii="Arial" w:hAnsi="Arial"/>
                <w:b w:val="0"/>
                <w:sz w:val="17"/>
              </w:rPr>
              <w:t>protocol de urgență și nivel adecvat de îngrijire</w:t>
            </w:r>
          </w:p>
        </w:tc>
      </w:tr>
      <w:tr>
        <w:tc>
          <w:tcPr>
            <w:tcW w:type="dxa" w:w="3969"/>
            <w:tcMar>
              <w:top w:w="70" w:type="dxa"/>
              <w:start w:w="75" w:type="dxa"/>
              <w:bottom w:w="70" w:type="dxa"/>
              <w:end w:w="75" w:type="dxa"/>
            </w:tcMar>
            <w:vAlign w:val="top"/>
          </w:tcPr>
          <w:p>
            <w:pPr>
              <w:spacing w:after="0" w:line="240" w:lineRule="auto"/>
            </w:pPr>
            <w:r>
              <w:rPr>
                <w:rFonts w:ascii="Arial" w:hAnsi="Arial"/>
                <w:b/>
                <w:sz w:val="17"/>
              </w:rPr>
              <w:t>afecțiune somatică instabilă</w:t>
            </w:r>
          </w:p>
        </w:tc>
        <w:tc>
          <w:tcPr>
            <w:tcW w:type="dxa" w:w="5443"/>
            <w:tcMar>
              <w:top w:w="70" w:type="dxa"/>
              <w:start w:w="75" w:type="dxa"/>
              <w:bottom w:w="70" w:type="dxa"/>
              <w:end w:w="75" w:type="dxa"/>
            </w:tcMar>
            <w:vAlign w:val="top"/>
          </w:tcPr>
          <w:p>
            <w:pPr>
              <w:spacing w:after="0" w:line="240" w:lineRule="auto"/>
            </w:pPr>
            <w:r>
              <w:rPr>
                <w:rFonts w:ascii="Arial" w:hAnsi="Arial"/>
                <w:b w:val="0"/>
                <w:sz w:val="17"/>
              </w:rPr>
              <w:t>evaluare/transfer medical</w:t>
            </w:r>
          </w:p>
        </w:tc>
      </w:tr>
      <w:tr>
        <w:tc>
          <w:tcPr>
            <w:tcW w:type="dxa" w:w="3969"/>
            <w:tcMar>
              <w:top w:w="70" w:type="dxa"/>
              <w:start w:w="75" w:type="dxa"/>
              <w:bottom w:w="70" w:type="dxa"/>
              <w:end w:w="75" w:type="dxa"/>
            </w:tcMar>
            <w:vAlign w:val="top"/>
            <w:shd w:fill="F9FBFC"/>
          </w:tcPr>
          <w:p>
            <w:pPr>
              <w:spacing w:after="0" w:line="240" w:lineRule="auto"/>
            </w:pPr>
            <w:r>
              <w:rPr>
                <w:rFonts w:ascii="Arial" w:hAnsi="Arial"/>
                <w:b/>
                <w:sz w:val="17"/>
              </w:rPr>
              <w:t>incapacitate temporară de consimțământ</w:t>
            </w:r>
          </w:p>
        </w:tc>
        <w:tc>
          <w:tcPr>
            <w:tcW w:type="dxa" w:w="5443"/>
            <w:tcMar>
              <w:top w:w="70" w:type="dxa"/>
              <w:start w:w="75" w:type="dxa"/>
              <w:bottom w:w="70" w:type="dxa"/>
              <w:end w:w="75" w:type="dxa"/>
            </w:tcMar>
            <w:vAlign w:val="top"/>
            <w:shd w:fill="F9FBFC"/>
          </w:tcPr>
          <w:p>
            <w:pPr>
              <w:spacing w:after="0" w:line="240" w:lineRule="auto"/>
            </w:pPr>
            <w:r>
              <w:rPr>
                <w:rFonts w:ascii="Arial" w:hAnsi="Arial"/>
                <w:b w:val="0"/>
                <w:sz w:val="17"/>
              </w:rPr>
              <w:t>amânare sau utilizare limitată conform cadrului legal</w:t>
            </w:r>
          </w:p>
        </w:tc>
      </w:tr>
      <w:tr>
        <w:tc>
          <w:tcPr>
            <w:tcW w:type="dxa" w:w="3969"/>
            <w:tcMar>
              <w:top w:w="70" w:type="dxa"/>
              <w:start w:w="75" w:type="dxa"/>
              <w:bottom w:w="70" w:type="dxa"/>
              <w:end w:w="75" w:type="dxa"/>
            </w:tcMar>
            <w:vAlign w:val="top"/>
          </w:tcPr>
          <w:p>
            <w:pPr>
              <w:spacing w:after="0" w:line="240" w:lineRule="auto"/>
            </w:pPr>
            <w:r>
              <w:rPr>
                <w:rFonts w:ascii="Arial" w:hAnsi="Arial"/>
                <w:b/>
                <w:sz w:val="17"/>
              </w:rPr>
              <w:t>violență domestică sau exploatare activă</w:t>
            </w:r>
          </w:p>
        </w:tc>
        <w:tc>
          <w:tcPr>
            <w:tcW w:type="dxa" w:w="5443"/>
            <w:tcMar>
              <w:top w:w="70" w:type="dxa"/>
              <w:start w:w="75" w:type="dxa"/>
              <w:bottom w:w="70" w:type="dxa"/>
              <w:end w:w="75" w:type="dxa"/>
            </w:tcMar>
            <w:vAlign w:val="top"/>
          </w:tcPr>
          <w:p>
            <w:pPr>
              <w:spacing w:after="0" w:line="240" w:lineRule="auto"/>
            </w:pPr>
            <w:r>
              <w:rPr>
                <w:rFonts w:ascii="Arial" w:hAnsi="Arial"/>
                <w:b w:val="0"/>
                <w:sz w:val="17"/>
              </w:rPr>
              <w:t>plan de protecție; familia nu este implicată automat</w:t>
            </w:r>
          </w:p>
        </w:tc>
      </w:tr>
      <w:tr>
        <w:tc>
          <w:tcPr>
            <w:tcW w:type="dxa" w:w="3969"/>
            <w:tcMar>
              <w:top w:w="70" w:type="dxa"/>
              <w:start w:w="75" w:type="dxa"/>
              <w:bottom w:w="70" w:type="dxa"/>
              <w:end w:w="75" w:type="dxa"/>
            </w:tcMar>
            <w:vAlign w:val="top"/>
            <w:shd w:fill="F9FBFC"/>
          </w:tcPr>
          <w:p>
            <w:pPr>
              <w:spacing w:after="0" w:line="240" w:lineRule="auto"/>
            </w:pPr>
            <w:r>
              <w:rPr>
                <w:rFonts w:ascii="Arial" w:hAnsi="Arial"/>
                <w:b/>
                <w:sz w:val="17"/>
              </w:rPr>
              <w:t>lipsa acoperirii clinice pentru alerte</w:t>
            </w:r>
          </w:p>
        </w:tc>
        <w:tc>
          <w:tcPr>
            <w:tcW w:type="dxa" w:w="5443"/>
            <w:tcMar>
              <w:top w:w="70" w:type="dxa"/>
              <w:start w:w="75" w:type="dxa"/>
              <w:bottom w:w="70" w:type="dxa"/>
              <w:end w:w="75" w:type="dxa"/>
            </w:tcMar>
            <w:vAlign w:val="top"/>
            <w:shd w:fill="F9FBFC"/>
          </w:tcPr>
          <w:p>
            <w:pPr>
              <w:spacing w:after="0" w:line="240" w:lineRule="auto"/>
            </w:pPr>
            <w:r>
              <w:rPr>
                <w:rFonts w:ascii="Arial" w:hAnsi="Arial"/>
                <w:b w:val="0"/>
                <w:sz w:val="17"/>
              </w:rPr>
              <w:t>dezactivarea monitorizării și informare explicită</w:t>
            </w:r>
          </w:p>
        </w:tc>
      </w:tr>
    </w:tbl>
    <w:p>
      <w:pPr>
        <w:spacing w:after="20"/>
      </w:pPr>
    </w:p>
    <w:p>
      <w:pPr>
        <w:pStyle w:val="Heading2"/>
        <w:keepNext/>
      </w:pPr>
      <w:r>
        <w:t>3.4. Niveluri de participare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85" w:type="dxa"/>
              <w:start w:w="90" w:type="dxa"/>
              <w:bottom w:w="85" w:type="dxa"/>
              <w:end w:w="90" w:type="dxa"/>
            </w:tcMar>
            <w:vAlign w:val="top"/>
          </w:tcPr>
          <w:p>
            <w:pPr>
              <w:spacing w:line="240" w:lineRule="auto"/>
            </w:pPr>
            <w:r>
              <w:rPr>
                <w:rFonts w:ascii="Arial" w:hAnsi="Arial"/>
                <w:b/>
                <w:color w:val="FFFFFF"/>
                <w:sz w:val="17"/>
              </w:rPr>
              <w:t>Nivel</w:t>
            </w:r>
          </w:p>
        </w:tc>
        <w:tc>
          <w:tcPr>
            <w:tcW w:type="dxa" w:w="7143"/>
            <w:shd w:fill="17324D"/>
            <w:tcMar>
              <w:top w:w="85" w:type="dxa"/>
              <w:start w:w="90" w:type="dxa"/>
              <w:bottom w:w="85" w:type="dxa"/>
              <w:end w:w="90" w:type="dxa"/>
            </w:tcMar>
            <w:vAlign w:val="top"/>
          </w:tcPr>
          <w:p>
            <w:pPr>
              <w:spacing w:line="240" w:lineRule="auto"/>
            </w:pPr>
            <w:r>
              <w:rPr>
                <w:rFonts w:ascii="Arial" w:hAnsi="Arial"/>
                <w:b/>
                <w:color w:val="FFFFFF"/>
                <w:sz w:val="17"/>
              </w:rPr>
              <w:t>Descriere</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Orientare</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educație și navigare; fără monitorizare clinică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Program ghidat</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plan și intervenții cu profesionist, dar fără monitorizare intensivă</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Program clinic</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evaluare, plan, alerte și responsabilitate clinică explicită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Întreținere</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frecvență redusă, grup și posibilitate de revenire rapidă</w:t>
            </w:r>
          </w:p>
        </w:tc>
      </w:tr>
    </w:tbl>
    <w:p>
      <w:pPr>
        <w:spacing w:after="20"/>
      </w:pPr>
    </w:p>
    <w:p>
      <w:pPr>
        <w:pStyle w:val="Heading1"/>
        <w:keepNext/>
      </w:pPr>
      <w:r>
        <w:t>4. Evaluarea inițială</w:t>
      </w:r>
    </w:p>
    <w:p>
      <w:pPr>
        <w:pStyle w:val="Heading2"/>
        <w:keepNext/>
      </w:pPr>
      <w:r>
        <w:t>4.1. Separarea celor patru procese</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2268"/>
            <w:shd w:fill="17324D"/>
            <w:tcMar>
              <w:top w:w="85" w:type="dxa"/>
              <w:start w:w="90" w:type="dxa"/>
              <w:bottom w:w="85" w:type="dxa"/>
              <w:end w:w="90" w:type="dxa"/>
            </w:tcMar>
            <w:vAlign w:val="top"/>
          </w:tcPr>
          <w:p>
            <w:pPr>
              <w:spacing w:line="240" w:lineRule="auto"/>
            </w:pPr>
            <w:r>
              <w:rPr>
                <w:rFonts w:ascii="Arial" w:hAnsi="Arial"/>
                <w:b/>
                <w:color w:val="FFFFFF"/>
                <w:sz w:val="17"/>
              </w:rPr>
              <w:t>Proces</w:t>
            </w:r>
          </w:p>
        </w:tc>
        <w:tc>
          <w:tcPr>
            <w:tcW w:type="dxa" w:w="3572"/>
            <w:shd w:fill="17324D"/>
            <w:tcMar>
              <w:top w:w="85" w:type="dxa"/>
              <w:start w:w="90" w:type="dxa"/>
              <w:bottom w:w="85" w:type="dxa"/>
              <w:end w:w="90" w:type="dxa"/>
            </w:tcMar>
            <w:vAlign w:val="top"/>
          </w:tcPr>
          <w:p>
            <w:pPr>
              <w:spacing w:line="240" w:lineRule="auto"/>
            </w:pPr>
            <w:r>
              <w:rPr>
                <w:rFonts w:ascii="Arial" w:hAnsi="Arial"/>
                <w:b/>
                <w:color w:val="FFFFFF"/>
                <w:sz w:val="17"/>
              </w:rPr>
              <w:t>Scop</w:t>
            </w:r>
          </w:p>
        </w:tc>
        <w:tc>
          <w:tcPr>
            <w:tcW w:type="dxa" w:w="3572"/>
            <w:shd w:fill="17324D"/>
            <w:tcMar>
              <w:top w:w="85" w:type="dxa"/>
              <w:start w:w="90" w:type="dxa"/>
              <w:bottom w:w="85" w:type="dxa"/>
              <w:end w:w="90" w:type="dxa"/>
            </w:tcMar>
            <w:vAlign w:val="top"/>
          </w:tcPr>
          <w:p>
            <w:pPr>
              <w:spacing w:line="240" w:lineRule="auto"/>
            </w:pPr>
            <w:r>
              <w:rPr>
                <w:rFonts w:ascii="Arial" w:hAnsi="Arial"/>
                <w:b/>
                <w:color w:val="FFFFFF"/>
                <w:sz w:val="17"/>
              </w:rPr>
              <w:t>Limită</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Poarta digitală de siguranță</w:t>
            </w:r>
          </w:p>
        </w:tc>
        <w:tc>
          <w:tcPr>
            <w:tcW w:type="dxa" w:w="3572"/>
            <w:tcMar>
              <w:top w:w="70" w:type="dxa"/>
              <w:start w:w="75" w:type="dxa"/>
              <w:bottom w:w="70" w:type="dxa"/>
              <w:end w:w="75" w:type="dxa"/>
            </w:tcMar>
            <w:vAlign w:val="top"/>
          </w:tcPr>
          <w:p>
            <w:pPr>
              <w:spacing w:after="0" w:line="240" w:lineRule="auto"/>
            </w:pPr>
            <w:r>
              <w:rPr>
                <w:rFonts w:ascii="Arial" w:hAnsi="Arial"/>
                <w:b w:val="0"/>
                <w:sz w:val="17"/>
              </w:rPr>
              <w:t>identifică posibilitatea unei urgențe</w:t>
            </w:r>
          </w:p>
        </w:tc>
        <w:tc>
          <w:tcPr>
            <w:tcW w:type="dxa" w:w="3572"/>
            <w:tcMar>
              <w:top w:w="70" w:type="dxa"/>
              <w:start w:w="75" w:type="dxa"/>
              <w:bottom w:w="70" w:type="dxa"/>
              <w:end w:w="75" w:type="dxa"/>
            </w:tcMar>
            <w:vAlign w:val="top"/>
          </w:tcPr>
          <w:p>
            <w:pPr>
              <w:spacing w:after="0" w:line="240" w:lineRule="auto"/>
            </w:pPr>
            <w:r>
              <w:rPr>
                <w:rFonts w:ascii="Arial" w:hAnsi="Arial"/>
                <w:b w:val="0"/>
                <w:sz w:val="17"/>
              </w:rPr>
              <w:t>nu exclude riscul</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Screening</w:t>
            </w:r>
          </w:p>
        </w:tc>
        <w:tc>
          <w:tcPr>
            <w:tcW w:type="dxa" w:w="3572"/>
            <w:tcMar>
              <w:top w:w="70" w:type="dxa"/>
              <w:start w:w="75" w:type="dxa"/>
              <w:bottom w:w="70" w:type="dxa"/>
              <w:end w:w="75" w:type="dxa"/>
            </w:tcMar>
            <w:vAlign w:val="top"/>
            <w:shd w:fill="F9FBFC"/>
          </w:tcPr>
          <w:p>
            <w:pPr>
              <w:spacing w:after="0" w:line="240" w:lineRule="auto"/>
            </w:pPr>
            <w:r>
              <w:rPr>
                <w:rFonts w:ascii="Arial" w:hAnsi="Arial"/>
                <w:b w:val="0"/>
                <w:sz w:val="17"/>
              </w:rPr>
              <w:t>semnalează probabilitatea unei probleme</w:t>
            </w:r>
          </w:p>
        </w:tc>
        <w:tc>
          <w:tcPr>
            <w:tcW w:type="dxa" w:w="3572"/>
            <w:tcMar>
              <w:top w:w="70" w:type="dxa"/>
              <w:start w:w="75" w:type="dxa"/>
              <w:bottom w:w="70" w:type="dxa"/>
              <w:end w:w="75" w:type="dxa"/>
            </w:tcMar>
            <w:vAlign w:val="top"/>
            <w:shd w:fill="F9FBFC"/>
          </w:tcPr>
          <w:p>
            <w:pPr>
              <w:spacing w:after="0" w:line="240" w:lineRule="auto"/>
            </w:pPr>
            <w:r>
              <w:rPr>
                <w:rFonts w:ascii="Arial" w:hAnsi="Arial"/>
                <w:b w:val="0"/>
                <w:sz w:val="17"/>
              </w:rPr>
              <w:t>nu stabilește diagnosticul</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Evaluare clinică</w:t>
            </w:r>
          </w:p>
        </w:tc>
        <w:tc>
          <w:tcPr>
            <w:tcW w:type="dxa" w:w="3572"/>
            <w:tcMar>
              <w:top w:w="70" w:type="dxa"/>
              <w:start w:w="75" w:type="dxa"/>
              <w:bottom w:w="70" w:type="dxa"/>
              <w:end w:w="75" w:type="dxa"/>
            </w:tcMar>
            <w:vAlign w:val="top"/>
          </w:tcPr>
          <w:p>
            <w:pPr>
              <w:spacing w:after="0" w:line="240" w:lineRule="auto"/>
            </w:pPr>
            <w:r>
              <w:rPr>
                <w:rFonts w:ascii="Arial" w:hAnsi="Arial"/>
                <w:b w:val="0"/>
                <w:sz w:val="17"/>
              </w:rPr>
              <w:t>diagnostic, severitate, comorbidități și resurse</w:t>
            </w:r>
          </w:p>
        </w:tc>
        <w:tc>
          <w:tcPr>
            <w:tcW w:type="dxa" w:w="3572"/>
            <w:tcMar>
              <w:top w:w="70" w:type="dxa"/>
              <w:start w:w="75" w:type="dxa"/>
              <w:bottom w:w="70" w:type="dxa"/>
              <w:end w:w="75" w:type="dxa"/>
            </w:tcMar>
            <w:vAlign w:val="top"/>
          </w:tcPr>
          <w:p>
            <w:pPr>
              <w:spacing w:after="0" w:line="240" w:lineRule="auto"/>
            </w:pPr>
            <w:r>
              <w:rPr>
                <w:rFonts w:ascii="Arial" w:hAnsi="Arial"/>
                <w:b w:val="0"/>
                <w:sz w:val="17"/>
              </w:rPr>
              <w:t>necesită profesionist</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Stabilirea nivelului de îngrijire</w:t>
            </w:r>
          </w:p>
        </w:tc>
        <w:tc>
          <w:tcPr>
            <w:tcW w:type="dxa" w:w="3572"/>
            <w:tcMar>
              <w:top w:w="70" w:type="dxa"/>
              <w:start w:w="75" w:type="dxa"/>
              <w:bottom w:w="70" w:type="dxa"/>
              <w:end w:w="75" w:type="dxa"/>
            </w:tcMar>
            <w:vAlign w:val="top"/>
            <w:shd w:fill="F9FBFC"/>
          </w:tcPr>
          <w:p>
            <w:pPr>
              <w:spacing w:after="0" w:line="240" w:lineRule="auto"/>
            </w:pPr>
            <w:r>
              <w:rPr>
                <w:rFonts w:ascii="Arial" w:hAnsi="Arial"/>
                <w:b w:val="0"/>
                <w:sz w:val="17"/>
              </w:rPr>
              <w:t>potrivirea intensității și mediului</w:t>
            </w:r>
          </w:p>
        </w:tc>
        <w:tc>
          <w:tcPr>
            <w:tcW w:type="dxa" w:w="3572"/>
            <w:tcMar>
              <w:top w:w="70" w:type="dxa"/>
              <w:start w:w="75" w:type="dxa"/>
              <w:bottom w:w="70" w:type="dxa"/>
              <w:end w:w="75" w:type="dxa"/>
            </w:tcMar>
            <w:vAlign w:val="top"/>
            <w:shd w:fill="F9FBFC"/>
          </w:tcPr>
          <w:p>
            <w:pPr>
              <w:spacing w:after="0" w:line="240" w:lineRule="auto"/>
            </w:pPr>
            <w:r>
              <w:rPr>
                <w:rFonts w:ascii="Arial" w:hAnsi="Arial"/>
                <w:b w:val="0"/>
                <w:sz w:val="17"/>
              </w:rPr>
              <w:t>nu este decisă de harta 7 Cărări</w:t>
            </w:r>
          </w:p>
        </w:tc>
      </w:tr>
    </w:tbl>
    <w:p>
      <w:pPr>
        <w:spacing w:after="20"/>
      </w:pPr>
    </w:p>
    <w:p>
      <w:pPr>
        <w:pStyle w:val="Heading2"/>
        <w:keepNext/>
      </w:pPr>
      <w:r>
        <w:t>4.2. Domeniile evaluării</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814"/>
            <w:shd w:fill="17324D"/>
            <w:tcMar>
              <w:top w:w="85" w:type="dxa"/>
              <w:start w:w="90" w:type="dxa"/>
              <w:bottom w:w="85" w:type="dxa"/>
              <w:end w:w="90" w:type="dxa"/>
            </w:tcMar>
            <w:vAlign w:val="top"/>
          </w:tcPr>
          <w:p>
            <w:pPr>
              <w:spacing w:line="240" w:lineRule="auto"/>
            </w:pPr>
            <w:r>
              <w:rPr>
                <w:rFonts w:ascii="Arial" w:hAnsi="Arial"/>
                <w:b/>
                <w:color w:val="FFFFFF"/>
                <w:sz w:val="17"/>
              </w:rPr>
              <w:t>Domeniu</w:t>
            </w:r>
          </w:p>
        </w:tc>
        <w:tc>
          <w:tcPr>
            <w:tcW w:type="dxa" w:w="7597"/>
            <w:shd w:fill="17324D"/>
            <w:tcMar>
              <w:top w:w="85" w:type="dxa"/>
              <w:start w:w="90" w:type="dxa"/>
              <w:bottom w:w="85" w:type="dxa"/>
              <w:end w:w="90" w:type="dxa"/>
            </w:tcMar>
            <w:vAlign w:val="top"/>
          </w:tcPr>
          <w:p>
            <w:pPr>
              <w:spacing w:line="240" w:lineRule="auto"/>
            </w:pPr>
            <w:r>
              <w:rPr>
                <w:rFonts w:ascii="Arial" w:hAnsi="Arial"/>
                <w:b/>
                <w:color w:val="FFFFFF"/>
                <w:sz w:val="17"/>
              </w:rPr>
              <w:t>Conținut minim</w:t>
            </w:r>
          </w:p>
        </w:tc>
      </w:tr>
      <w:tr>
        <w:tc>
          <w:tcPr>
            <w:tcW w:type="dxa" w:w="1814"/>
            <w:tcMar>
              <w:top w:w="70" w:type="dxa"/>
              <w:start w:w="75" w:type="dxa"/>
              <w:bottom w:w="70" w:type="dxa"/>
              <w:end w:w="75" w:type="dxa"/>
            </w:tcMar>
            <w:vAlign w:val="top"/>
          </w:tcPr>
          <w:p>
            <w:pPr>
              <w:spacing w:after="0" w:line="240" w:lineRule="auto"/>
            </w:pPr>
            <w:r>
              <w:rPr>
                <w:rFonts w:ascii="Arial" w:hAnsi="Arial"/>
                <w:b/>
                <w:sz w:val="17"/>
              </w:rPr>
              <w:t>Consumul</w:t>
            </w:r>
          </w:p>
        </w:tc>
        <w:tc>
          <w:tcPr>
            <w:tcW w:type="dxa" w:w="7597"/>
            <w:tcMar>
              <w:top w:w="70" w:type="dxa"/>
              <w:start w:w="75" w:type="dxa"/>
              <w:bottom w:w="70" w:type="dxa"/>
              <w:end w:w="75" w:type="dxa"/>
            </w:tcMar>
            <w:vAlign w:val="top"/>
          </w:tcPr>
          <w:p>
            <w:pPr>
              <w:spacing w:after="0" w:line="240" w:lineRule="auto"/>
            </w:pPr>
            <w:r>
              <w:rPr>
                <w:rFonts w:ascii="Arial" w:hAnsi="Arial"/>
                <w:b w:val="0"/>
                <w:sz w:val="17"/>
              </w:rPr>
              <w:t>substanțe/comportamente, cantitate, frecvență, cale, ultima utilizare, pattern, control pierdut, consecințe.</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7"/>
              </w:rPr>
              <w:t>Sevraj/intoxicație</w:t>
            </w:r>
          </w:p>
        </w:tc>
        <w:tc>
          <w:tcPr>
            <w:tcW w:type="dxa" w:w="7597"/>
            <w:tcMar>
              <w:top w:w="70" w:type="dxa"/>
              <w:start w:w="75" w:type="dxa"/>
              <w:bottom w:w="70" w:type="dxa"/>
              <w:end w:w="75" w:type="dxa"/>
            </w:tcMar>
            <w:vAlign w:val="top"/>
            <w:shd w:fill="F9FBFC"/>
          </w:tcPr>
          <w:p>
            <w:pPr>
              <w:spacing w:after="0" w:line="240" w:lineRule="auto"/>
            </w:pPr>
            <w:r>
              <w:rPr>
                <w:rFonts w:ascii="Arial" w:hAnsi="Arial"/>
                <w:b w:val="0"/>
                <w:sz w:val="17"/>
              </w:rPr>
              <w:t>istoric de convulsii, delir, tratamente, toleranță, risc de supradoză, combinații.</w:t>
            </w:r>
          </w:p>
        </w:tc>
      </w:tr>
      <w:tr>
        <w:tc>
          <w:tcPr>
            <w:tcW w:type="dxa" w:w="1814"/>
            <w:tcMar>
              <w:top w:w="70" w:type="dxa"/>
              <w:start w:w="75" w:type="dxa"/>
              <w:bottom w:w="70" w:type="dxa"/>
              <w:end w:w="75" w:type="dxa"/>
            </w:tcMar>
            <w:vAlign w:val="top"/>
          </w:tcPr>
          <w:p>
            <w:pPr>
              <w:spacing w:after="0" w:line="240" w:lineRule="auto"/>
            </w:pPr>
            <w:r>
              <w:rPr>
                <w:rFonts w:ascii="Arial" w:hAnsi="Arial"/>
                <w:b/>
                <w:sz w:val="17"/>
              </w:rPr>
              <w:t>Medical</w:t>
            </w:r>
          </w:p>
        </w:tc>
        <w:tc>
          <w:tcPr>
            <w:tcW w:type="dxa" w:w="7597"/>
            <w:tcMar>
              <w:top w:w="70" w:type="dxa"/>
              <w:start w:w="75" w:type="dxa"/>
              <w:bottom w:w="70" w:type="dxa"/>
              <w:end w:w="75" w:type="dxa"/>
            </w:tcMar>
            <w:vAlign w:val="top"/>
          </w:tcPr>
          <w:p>
            <w:pPr>
              <w:spacing w:after="0" w:line="240" w:lineRule="auto"/>
            </w:pPr>
            <w:r>
              <w:rPr>
                <w:rFonts w:ascii="Arial" w:hAnsi="Arial"/>
                <w:b w:val="0"/>
                <w:sz w:val="17"/>
              </w:rPr>
              <w:t>boli hepatice, cardiovasculare, neurologice, infecțioase, durere, sarcină, nutriție, medicație.</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7"/>
              </w:rPr>
              <w:t>Psihiatric</w:t>
            </w:r>
          </w:p>
        </w:tc>
        <w:tc>
          <w:tcPr>
            <w:tcW w:type="dxa" w:w="7597"/>
            <w:tcMar>
              <w:top w:w="70" w:type="dxa"/>
              <w:start w:w="75" w:type="dxa"/>
              <w:bottom w:w="70" w:type="dxa"/>
              <w:end w:w="75" w:type="dxa"/>
            </w:tcMar>
            <w:vAlign w:val="top"/>
            <w:shd w:fill="F9FBFC"/>
          </w:tcPr>
          <w:p>
            <w:pPr>
              <w:spacing w:after="0" w:line="240" w:lineRule="auto"/>
            </w:pPr>
            <w:r>
              <w:rPr>
                <w:rFonts w:ascii="Arial" w:hAnsi="Arial"/>
                <w:b w:val="0"/>
                <w:sz w:val="17"/>
              </w:rPr>
              <w:t>depresie, manie, psihoză, anxietate, traumă, ADHD, tulburări de personalitate, somn, cogniție.</w:t>
            </w:r>
          </w:p>
        </w:tc>
      </w:tr>
      <w:tr>
        <w:tc>
          <w:tcPr>
            <w:tcW w:type="dxa" w:w="1814"/>
            <w:tcMar>
              <w:top w:w="70" w:type="dxa"/>
              <w:start w:w="75" w:type="dxa"/>
              <w:bottom w:w="70" w:type="dxa"/>
              <w:end w:w="75" w:type="dxa"/>
            </w:tcMar>
            <w:vAlign w:val="top"/>
          </w:tcPr>
          <w:p>
            <w:pPr>
              <w:spacing w:after="0" w:line="240" w:lineRule="auto"/>
            </w:pPr>
            <w:r>
              <w:rPr>
                <w:rFonts w:ascii="Arial" w:hAnsi="Arial"/>
                <w:b/>
                <w:sz w:val="17"/>
              </w:rPr>
              <w:t>Risc</w:t>
            </w:r>
          </w:p>
        </w:tc>
        <w:tc>
          <w:tcPr>
            <w:tcW w:type="dxa" w:w="7597"/>
            <w:tcMar>
              <w:top w:w="70" w:type="dxa"/>
              <w:start w:w="75" w:type="dxa"/>
              <w:bottom w:w="70" w:type="dxa"/>
              <w:end w:w="75" w:type="dxa"/>
            </w:tcMar>
            <w:vAlign w:val="top"/>
          </w:tcPr>
          <w:p>
            <w:pPr>
              <w:spacing w:after="0" w:line="240" w:lineRule="auto"/>
            </w:pPr>
            <w:r>
              <w:rPr>
                <w:rFonts w:ascii="Arial" w:hAnsi="Arial"/>
                <w:b w:val="0"/>
                <w:sz w:val="17"/>
              </w:rPr>
              <w:t>suicid, autoagresiune, violență, neglijare, vulnerabilitate, acces la mijloace.</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7"/>
              </w:rPr>
              <w:t>Istoric de tratament</w:t>
            </w:r>
          </w:p>
        </w:tc>
        <w:tc>
          <w:tcPr>
            <w:tcW w:type="dxa" w:w="7597"/>
            <w:tcMar>
              <w:top w:w="70" w:type="dxa"/>
              <w:start w:w="75" w:type="dxa"/>
              <w:bottom w:w="70" w:type="dxa"/>
              <w:end w:w="75" w:type="dxa"/>
            </w:tcMar>
            <w:vAlign w:val="top"/>
            <w:shd w:fill="F9FBFC"/>
          </w:tcPr>
          <w:p>
            <w:pPr>
              <w:spacing w:after="0" w:line="240" w:lineRule="auto"/>
            </w:pPr>
            <w:r>
              <w:rPr>
                <w:rFonts w:ascii="Arial" w:hAnsi="Arial"/>
                <w:b w:val="0"/>
                <w:sz w:val="17"/>
              </w:rPr>
              <w:t>ce a ajutat, ce a eșuat, motive de abandon, reacții adverse, preferințe.</w:t>
            </w:r>
          </w:p>
        </w:tc>
      </w:tr>
      <w:tr>
        <w:tc>
          <w:tcPr>
            <w:tcW w:type="dxa" w:w="1814"/>
            <w:tcMar>
              <w:top w:w="70" w:type="dxa"/>
              <w:start w:w="75" w:type="dxa"/>
              <w:bottom w:w="70" w:type="dxa"/>
              <w:end w:w="75" w:type="dxa"/>
            </w:tcMar>
            <w:vAlign w:val="top"/>
          </w:tcPr>
          <w:p>
            <w:pPr>
              <w:spacing w:after="0" w:line="240" w:lineRule="auto"/>
            </w:pPr>
            <w:r>
              <w:rPr>
                <w:rFonts w:ascii="Arial" w:hAnsi="Arial"/>
                <w:b/>
                <w:sz w:val="17"/>
              </w:rPr>
              <w:t>Motivație</w:t>
            </w:r>
          </w:p>
        </w:tc>
        <w:tc>
          <w:tcPr>
            <w:tcW w:type="dxa" w:w="7597"/>
            <w:tcMar>
              <w:top w:w="70" w:type="dxa"/>
              <w:start w:w="75" w:type="dxa"/>
              <w:bottom w:w="70" w:type="dxa"/>
              <w:end w:w="75" w:type="dxa"/>
            </w:tcMar>
            <w:vAlign w:val="top"/>
          </w:tcPr>
          <w:p>
            <w:pPr>
              <w:spacing w:after="0" w:line="240" w:lineRule="auto"/>
            </w:pPr>
            <w:r>
              <w:rPr>
                <w:rFonts w:ascii="Arial" w:hAnsi="Arial"/>
                <w:b w:val="0"/>
                <w:sz w:val="17"/>
              </w:rPr>
              <w:t>obiective, ambivalență, importanță, încredere, pregătire pentru schimbare.</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7"/>
              </w:rPr>
              <w:t>Mediu</w:t>
            </w:r>
          </w:p>
        </w:tc>
        <w:tc>
          <w:tcPr>
            <w:tcW w:type="dxa" w:w="7597"/>
            <w:tcMar>
              <w:top w:w="70" w:type="dxa"/>
              <w:start w:w="75" w:type="dxa"/>
              <w:bottom w:w="70" w:type="dxa"/>
              <w:end w:w="75" w:type="dxa"/>
            </w:tcMar>
            <w:vAlign w:val="top"/>
            <w:shd w:fill="F9FBFC"/>
          </w:tcPr>
          <w:p>
            <w:pPr>
              <w:spacing w:after="0" w:line="240" w:lineRule="auto"/>
            </w:pPr>
            <w:r>
              <w:rPr>
                <w:rFonts w:ascii="Arial" w:hAnsi="Arial"/>
                <w:b w:val="0"/>
                <w:sz w:val="17"/>
              </w:rPr>
              <w:t>locuire, familie, copii, relații, grup de egali, acces la substanțe, siguranță.</w:t>
            </w:r>
          </w:p>
        </w:tc>
      </w:tr>
      <w:tr>
        <w:tc>
          <w:tcPr>
            <w:tcW w:type="dxa" w:w="1814"/>
            <w:tcMar>
              <w:top w:w="70" w:type="dxa"/>
              <w:start w:w="75" w:type="dxa"/>
              <w:bottom w:w="70" w:type="dxa"/>
              <w:end w:w="75" w:type="dxa"/>
            </w:tcMar>
            <w:vAlign w:val="top"/>
          </w:tcPr>
          <w:p>
            <w:pPr>
              <w:spacing w:after="0" w:line="240" w:lineRule="auto"/>
            </w:pPr>
            <w:r>
              <w:rPr>
                <w:rFonts w:ascii="Arial" w:hAnsi="Arial"/>
                <w:b/>
                <w:sz w:val="17"/>
              </w:rPr>
              <w:t>Funcționare</w:t>
            </w:r>
          </w:p>
        </w:tc>
        <w:tc>
          <w:tcPr>
            <w:tcW w:type="dxa" w:w="7597"/>
            <w:tcMar>
              <w:top w:w="70" w:type="dxa"/>
              <w:start w:w="75" w:type="dxa"/>
              <w:bottom w:w="70" w:type="dxa"/>
              <w:end w:w="75" w:type="dxa"/>
            </w:tcMar>
            <w:vAlign w:val="top"/>
          </w:tcPr>
          <w:p>
            <w:pPr>
              <w:spacing w:after="0" w:line="240" w:lineRule="auto"/>
            </w:pPr>
            <w:r>
              <w:rPr>
                <w:rFonts w:ascii="Arial" w:hAnsi="Arial"/>
                <w:b w:val="0"/>
                <w:sz w:val="17"/>
              </w:rPr>
              <w:t>muncă, educație, bani, juridic, autoîngrijire, activitate și rutină.</w:t>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7"/>
              </w:rPr>
              <w:t>Resurse</w:t>
            </w:r>
          </w:p>
        </w:tc>
        <w:tc>
          <w:tcPr>
            <w:tcW w:type="dxa" w:w="7597"/>
            <w:tcMar>
              <w:top w:w="70" w:type="dxa"/>
              <w:start w:w="75" w:type="dxa"/>
              <w:bottom w:w="70" w:type="dxa"/>
              <w:end w:w="75" w:type="dxa"/>
            </w:tcMar>
            <w:vAlign w:val="top"/>
            <w:shd w:fill="F9FBFC"/>
          </w:tcPr>
          <w:p>
            <w:pPr>
              <w:spacing w:after="0" w:line="240" w:lineRule="auto"/>
            </w:pPr>
            <w:r>
              <w:rPr>
                <w:rFonts w:ascii="Arial" w:hAnsi="Arial"/>
                <w:b w:val="0"/>
                <w:sz w:val="17"/>
              </w:rPr>
              <w:t>persoane de sprijin, interese, credință/valori, competențe, experiențe de recuperare.</w:t>
            </w:r>
          </w:p>
        </w:tc>
      </w:tr>
      <w:tr>
        <w:tc>
          <w:tcPr>
            <w:tcW w:type="dxa" w:w="1814"/>
            <w:tcMar>
              <w:top w:w="70" w:type="dxa"/>
              <w:start w:w="75" w:type="dxa"/>
              <w:bottom w:w="70" w:type="dxa"/>
              <w:end w:w="75" w:type="dxa"/>
            </w:tcMar>
            <w:vAlign w:val="top"/>
          </w:tcPr>
          <w:p>
            <w:pPr>
              <w:spacing w:after="0" w:line="240" w:lineRule="auto"/>
            </w:pPr>
            <w:r>
              <w:rPr>
                <w:rFonts w:ascii="Arial" w:hAnsi="Arial"/>
                <w:b/>
                <w:sz w:val="17"/>
              </w:rPr>
              <w:t>Acces digital</w:t>
            </w:r>
          </w:p>
        </w:tc>
        <w:tc>
          <w:tcPr>
            <w:tcW w:type="dxa" w:w="7597"/>
            <w:tcMar>
              <w:top w:w="70" w:type="dxa"/>
              <w:start w:w="75" w:type="dxa"/>
              <w:bottom w:w="70" w:type="dxa"/>
              <w:end w:w="75" w:type="dxa"/>
            </w:tcMar>
            <w:vAlign w:val="top"/>
          </w:tcPr>
          <w:p>
            <w:pPr>
              <w:spacing w:after="0" w:line="240" w:lineRule="auto"/>
            </w:pPr>
            <w:r>
              <w:rPr>
                <w:rFonts w:ascii="Arial" w:hAnsi="Arial"/>
                <w:b w:val="0"/>
                <w:sz w:val="17"/>
              </w:rPr>
              <w:t>dispozitiv, internet, alfabetizare digitală, confidențialitate acasă.</w:t>
            </w:r>
          </w:p>
        </w:tc>
      </w:tr>
    </w:tbl>
    <w:p>
      <w:pPr>
        <w:spacing w:after="20"/>
      </w:pPr>
    </w:p>
    <w:p>
      <w:pPr>
        <w:pStyle w:val="Heading2"/>
        <w:keepNext/>
      </w:pPr>
      <w:r>
        <w:t>4.3. Instrumente standardizate</w:t>
      </w:r>
    </w:p>
    <w:p>
      <w:pPr>
        <w:spacing w:after="70"/>
      </w:pPr>
      <w:r>
        <w:rPr>
          <w:i w:val="0"/>
        </w:rPr>
        <w:t>Se pot folosi instrumente validate și licențiate corespunzător pentru consum, sevraj, simptome, funcționare și rezultate. Selecția depinde de populație, limba validată, scop și nivelul de îngrijire. Niciun scor de risc suicidar nu trebuie utilizat izolat pentru a decide siguranța sau externarea.</w:t>
      </w:r>
    </w:p>
    <w:tbl>
      <w:tblPr>
        <w:tblW w:type="auto" w:w="0"/>
        <w:jc w:val="center"/>
        <w:tblLayout w:type="fixed"/>
        <w:tblLook w:firstColumn="1" w:firstRow="1" w:lastColumn="0" w:lastRow="0" w:noHBand="0" w:noVBand="1" w:val="04A0"/>
      </w:tblPr>
      <w:tblGrid>
        <w:gridCol w:w="9638"/>
      </w:tblGrid>
      <w:tr>
        <w:tc>
          <w:tcPr>
            <w:tcW w:type="dxa" w:w="9411"/>
            <w:shd w:fill="F4F6F8"/>
            <w:tcBorders>
              <w:top w:val="single" w:sz="8" w:color="17324D"/>
              <w:left w:val="single" w:sz="8" w:color="17324D"/>
              <w:bottom w:val="single" w:sz="8" w:color="17324D"/>
              <w:right w:val="single" w:sz="8" w:color="17324D"/>
            </w:tcBorders>
            <w:tcMar>
              <w:top w:w="120" w:type="dxa"/>
              <w:start w:w="150" w:type="dxa"/>
              <w:bottom w:w="120" w:type="dxa"/>
              <w:end w:w="150" w:type="dxa"/>
            </w:tcMar>
            <w:vAlign w:val="top"/>
          </w:tcPr>
          <w:p>
            <w:pPr>
              <w:spacing w:line="240" w:lineRule="auto"/>
            </w:pPr>
            <w:r>
              <w:rPr>
                <w:rFonts w:ascii="Arial" w:hAnsi="Arial"/>
                <w:b/>
                <w:color w:val="17324D"/>
                <w:sz w:val="21"/>
              </w:rPr>
              <w:t>Regulă de implementare</w:t>
            </w:r>
          </w:p>
          <w:p>
            <w:pPr>
              <w:spacing w:after="0" w:line="240" w:lineRule="auto"/>
            </w:pPr>
            <w:r>
              <w:rPr>
                <w:rFonts w:ascii="Arial" w:hAnsi="Arial"/>
              </w:rPr>
              <w:t>Aplicația trebuie să păstreze numele instrumentului, versiunea, data, respondentul, scorul brut și interpretarea clinicianului. Nu trebuie să transforme automat un scor într-un diagnostic sau plan.</w:t>
            </w:r>
          </w:p>
        </w:tc>
      </w:tr>
    </w:tbl>
    <w:p>
      <w:pPr>
        <w:spacing w:after="20"/>
      </w:pPr>
    </w:p>
    <w:p>
      <w:pPr>
        <w:pStyle w:val="Heading2"/>
        <w:keepNext/>
      </w:pPr>
      <w:r>
        <w:t>4.4. Evaluarea capitalului de recuperare</w:t>
      </w:r>
    </w:p>
    <w:p>
      <w:pPr>
        <w:pStyle w:val="ListBullet"/>
        <w:spacing w:after="52"/>
      </w:pPr>
      <w:r>
        <w:t>starea de sănătate și accesul la tratament;</w:t>
      </w:r>
    </w:p>
    <w:p>
      <w:pPr>
        <w:pStyle w:val="ListBullet"/>
        <w:spacing w:after="52"/>
      </w:pPr>
      <w:r>
        <w:t>locuire și siguranță materială;</w:t>
      </w:r>
    </w:p>
    <w:p>
      <w:pPr>
        <w:pStyle w:val="ListBullet"/>
        <w:spacing w:after="52"/>
      </w:pPr>
      <w:r>
        <w:t>relații de sprijin și comunitate;</w:t>
      </w:r>
    </w:p>
    <w:p>
      <w:pPr>
        <w:pStyle w:val="ListBullet"/>
        <w:spacing w:after="52"/>
      </w:pPr>
      <w:r>
        <w:t>competențe și acces la muncă/educație;</w:t>
      </w:r>
    </w:p>
    <w:p>
      <w:pPr>
        <w:pStyle w:val="ListBullet"/>
        <w:spacing w:after="52"/>
      </w:pPr>
      <w:r>
        <w:t>sens, valori și speranță;</w:t>
      </w:r>
    </w:p>
    <w:p>
      <w:pPr>
        <w:pStyle w:val="ListBullet"/>
        <w:spacing w:after="52"/>
      </w:pPr>
      <w:r>
        <w:t>experiențe anterioare de schimbare;</w:t>
      </w:r>
    </w:p>
    <w:p>
      <w:pPr>
        <w:pStyle w:val="ListBullet"/>
        <w:spacing w:after="52"/>
      </w:pPr>
      <w:r>
        <w:t>resurse culturale și spirituale alese de pacient.</w:t>
      </w:r>
    </w:p>
    <w:p>
      <w:pPr>
        <w:pStyle w:val="Heading1"/>
        <w:keepNext/>
      </w:pPr>
      <w:r>
        <w:t>5. Formularea clinică și alegerea cărărilor</w:t>
      </w:r>
    </w:p>
    <w:p>
      <w:pPr>
        <w:pStyle w:val="Heading2"/>
        <w:keepNext/>
      </w:pPr>
      <w:r>
        <w:t>5.1. Formularea de caz</w:t>
      </w:r>
    </w:p>
    <w:p>
      <w:pPr>
        <w:spacing w:after="70"/>
      </w:pPr>
      <w:r>
        <w:rPr>
          <w:i w:val="0"/>
        </w:rPr>
        <w:t>Formularea integrează problema actuală, factorii predispozanți, precipitanti, perpetuanți și protectivi, severitatea și nivelul de îngrijire. Ea trebuie să explice de ce persoana consumă sau recade în contextul său, nu doar ce criterii îndeplinește.</w:t>
      </w:r>
    </w:p>
    <w:p>
      <w:pPr>
        <w:pStyle w:val="Heading2"/>
        <w:keepNext/>
      </w:pPr>
      <w:r>
        <w:t>5.2. Axele hărții 7 Cărări</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984"/>
            <w:shd w:fill="17324D"/>
            <w:tcMar>
              <w:top w:w="85" w:type="dxa"/>
              <w:start w:w="90" w:type="dxa"/>
              <w:bottom w:w="85" w:type="dxa"/>
              <w:end w:w="90" w:type="dxa"/>
            </w:tcMar>
            <w:vAlign w:val="top"/>
          </w:tcPr>
          <w:p>
            <w:pPr>
              <w:spacing w:line="240" w:lineRule="auto"/>
            </w:pPr>
            <w:r>
              <w:rPr>
                <w:rFonts w:ascii="Arial" w:hAnsi="Arial"/>
                <w:b/>
                <w:color w:val="FFFFFF"/>
                <w:sz w:val="17"/>
              </w:rPr>
              <w:t>Axă</w:t>
            </w:r>
          </w:p>
        </w:tc>
        <w:tc>
          <w:tcPr>
            <w:tcW w:type="dxa" w:w="7427"/>
            <w:shd w:fill="17324D"/>
            <w:tcMar>
              <w:top w:w="85" w:type="dxa"/>
              <w:start w:w="90" w:type="dxa"/>
              <w:bottom w:w="85" w:type="dxa"/>
              <w:end w:w="90" w:type="dxa"/>
            </w:tcMar>
            <w:vAlign w:val="top"/>
          </w:tcPr>
          <w:p>
            <w:pPr>
              <w:spacing w:line="240" w:lineRule="auto"/>
            </w:pPr>
            <w:r>
              <w:rPr>
                <w:rFonts w:ascii="Arial" w:hAnsi="Arial"/>
                <w:b/>
                <w:color w:val="FFFFFF"/>
                <w:sz w:val="17"/>
              </w:rPr>
              <w:t>Întrebare clinică</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Nevoie</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Cât de afectat sau riscant este domeniul?</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Interes</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Cât dorește pacientul să lucreze în acest domeniu acum?</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Resurse</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Ce persoane, competențe sau servicii există deja?</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Fezabilitate</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Se poate realiza un pas concret și sigur în următoarele șapte zile?</w:t>
            </w:r>
          </w:p>
        </w:tc>
      </w:tr>
    </w:tbl>
    <w:p>
      <w:pPr>
        <w:spacing w:after="20"/>
      </w:pPr>
    </w:p>
    <w:p>
      <w:pPr>
        <w:spacing w:after="70"/>
      </w:pPr>
      <w:r>
        <w:rPr>
          <w:i w:val="0"/>
        </w:rPr>
        <w:t>Aceste axe sunt conversaționale și exploratorii. Nu constituie o scală validată și nu se agregă într-un „scor de recuperare”.</w:t>
      </w:r>
    </w:p>
    <w:p>
      <w:pPr>
        <w:pStyle w:val="Heading2"/>
        <w:keepNext/>
      </w:pPr>
      <w:r>
        <w:t>5.3. Procesul de alegere</w:t>
      </w:r>
    </w:p>
    <w:tbl>
      <w:tblPr>
        <w:tblW w:type="auto" w:w="0"/>
        <w:jc w:val="center"/>
        <w:tblLayout w:type="fixed"/>
        <w:tblLook w:firstColumn="1" w:firstRow="1" w:lastColumn="0" w:lastRow="0" w:noHBand="0" w:noVBand="1" w:val="04A0"/>
      </w:tblPr>
      <w:tblGrid>
        <w:gridCol w:w="1928"/>
        <w:gridCol w:w="1928"/>
        <w:gridCol w:w="1928"/>
        <w:gridCol w:w="1928"/>
        <w:gridCol w:w="1928"/>
      </w:tblGrid>
      <w:tr>
        <w:tc>
          <w:tcPr>
            <w:tcW w:type="dxa" w:w="1882"/>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1</w:t>
              <w:br/>
            </w:r>
            <w:r>
              <w:rPr>
                <w:rFonts w:ascii="Arial" w:hAnsi="Arial"/>
                <w:sz w:val="16"/>
              </w:rPr>
              <w:t>Engagement</w:t>
            </w:r>
          </w:p>
        </w:tc>
        <w:tc>
          <w:tcPr>
            <w:tcW w:type="dxa" w:w="1882"/>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2</w:t>
              <w:br/>
            </w:r>
            <w:r>
              <w:rPr>
                <w:rFonts w:ascii="Arial" w:hAnsi="Arial"/>
                <w:sz w:val="16"/>
              </w:rPr>
              <w:t>Focalizare</w:t>
            </w:r>
          </w:p>
        </w:tc>
        <w:tc>
          <w:tcPr>
            <w:tcW w:type="dxa" w:w="1882"/>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3</w:t>
              <w:br/>
            </w:r>
            <w:r>
              <w:rPr>
                <w:rFonts w:ascii="Arial" w:hAnsi="Arial"/>
                <w:sz w:val="16"/>
              </w:rPr>
              <w:t>Evocarea motivației</w:t>
            </w:r>
          </w:p>
        </w:tc>
        <w:tc>
          <w:tcPr>
            <w:tcW w:type="dxa" w:w="1882"/>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4</w:t>
              <w:br/>
            </w:r>
            <w:r>
              <w:rPr>
                <w:rFonts w:ascii="Arial" w:hAnsi="Arial"/>
                <w:sz w:val="16"/>
              </w:rPr>
              <w:t>Alegere comună</w:t>
            </w:r>
          </w:p>
        </w:tc>
        <w:tc>
          <w:tcPr>
            <w:tcW w:type="dxa" w:w="1882"/>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5</w:t>
              <w:br/>
            </w:r>
            <w:r>
              <w:rPr>
                <w:rFonts w:ascii="Arial" w:hAnsi="Arial"/>
                <w:sz w:val="16"/>
              </w:rPr>
              <w:t>Planificare</w:t>
            </w:r>
          </w:p>
        </w:tc>
      </w:tr>
    </w:tbl>
    <w:p>
      <w:pPr>
        <w:spacing w:after="40"/>
      </w:pPr>
    </w:p>
    <w:p>
      <w:pPr>
        <w:pStyle w:val="ListBullet"/>
        <w:spacing w:after="52"/>
      </w:pPr>
      <w:r>
        <w:t>se prezintă cele șapte cărări într-un limbaj neutru;</w:t>
      </w:r>
    </w:p>
    <w:p>
      <w:pPr>
        <w:pStyle w:val="ListBullet"/>
        <w:spacing w:after="52"/>
      </w:pPr>
      <w:r>
        <w:t>se reflectă prioritățile și ambivalența pacientului;</w:t>
      </w:r>
    </w:p>
    <w:p>
      <w:pPr>
        <w:pStyle w:val="ListBullet"/>
        <w:spacing w:after="52"/>
      </w:pPr>
      <w:r>
        <w:t>se verifică nevoile nenegociabile de siguranță;</w:t>
      </w:r>
    </w:p>
    <w:p>
      <w:pPr>
        <w:pStyle w:val="ListBullet"/>
        <w:spacing w:after="52"/>
      </w:pPr>
      <w:r>
        <w:t>se alege o cărare principală și cel mult două cărări de sprijin;</w:t>
      </w:r>
    </w:p>
    <w:p>
      <w:pPr>
        <w:pStyle w:val="ListBullet"/>
        <w:spacing w:after="52"/>
      </w:pPr>
      <w:r>
        <w:t>se documentează motivul alegerii și data reevaluării.</w:t>
      </w:r>
    </w:p>
    <w:p>
      <w:pPr>
        <w:pStyle w:val="Heading2"/>
        <w:keepNext/>
      </w:pPr>
      <w:r>
        <w:t>5.4. Reguli de alegere</w:t>
      </w:r>
    </w:p>
    <w:p>
      <w:pPr>
        <w:pStyle w:val="ListBullet"/>
        <w:spacing w:after="52"/>
      </w:pPr>
      <w:r>
        <w:t>cărarea principală trebuie să fie relevantă clinic și motivantă;</w:t>
      </w:r>
    </w:p>
    <w:p>
      <w:pPr>
        <w:pStyle w:val="ListBullet"/>
        <w:spacing w:after="52"/>
      </w:pPr>
      <w:r>
        <w:t>o nevoie medicală majoră poate rămâne obligatorie chiar dacă nu este cărare principală;</w:t>
      </w:r>
    </w:p>
    <w:p>
      <w:pPr>
        <w:pStyle w:val="ListBullet"/>
        <w:spacing w:after="52"/>
      </w:pPr>
      <w:r>
        <w:t>cărarea spirituală este exclusiv voluntară;</w:t>
      </w:r>
    </w:p>
    <w:p>
      <w:pPr>
        <w:pStyle w:val="ListBullet"/>
        <w:spacing w:after="52"/>
      </w:pPr>
      <w:r>
        <w:t>cărarea poate fi schimbată fără a interpreta schimbarea ca eșec;</w:t>
      </w:r>
    </w:p>
    <w:p>
      <w:pPr>
        <w:pStyle w:val="ListBullet"/>
        <w:spacing w:after="52"/>
      </w:pPr>
      <w:r>
        <w:t>traseul nu trebuie să includă mai multe sarcini decât poate susține pacientul.</w:t>
      </w:r>
    </w:p>
    <w:p>
      <w:pPr>
        <w:pStyle w:val="Heading1"/>
        <w:keepNext/>
      </w:pPr>
      <w:r>
        <w:t>6. Procedura clinică a celor șapte cărări</w:t>
      </w:r>
    </w:p>
    <w:p>
      <w:pPr>
        <w:spacing w:after="70"/>
      </w:pPr>
      <w:r>
        <w:rPr>
          <w:i w:val="0"/>
        </w:rPr>
        <w:t>Fiecare cărare este un domeniu de intervenție. Intervențiile concrete sunt selectate în funcție de competența profesionistului, severitate, preferințe, disponibilitate și ghidurile aplicabile.</w:t>
      </w:r>
    </w:p>
    <w:p>
      <w:pPr>
        <w:pStyle w:val="Heading2"/>
        <w:keepNext/>
      </w:pPr>
      <w:r>
        <w:t>6.1. Cărarea medicală</w:t>
      </w:r>
    </w:p>
    <w:p>
      <w:pPr>
        <w:spacing w:after="70"/>
      </w:pPr>
      <w:r>
        <w:rPr>
          <w:i w:val="0"/>
        </w:rPr>
        <w:t>Stabilizarea biologică și psihiatrică, reducerea mortalității și crearea condițiilor de participare.</w:t>
      </w:r>
    </w:p>
    <w:p>
      <w:pPr>
        <w:pStyle w:val="Heading3"/>
        <w:keepNext/>
      </w:pPr>
      <w:r>
        <w:t>Intervenții posibile</w:t>
      </w:r>
    </w:p>
    <w:p>
      <w:pPr>
        <w:pStyle w:val="ListBullet"/>
        <w:spacing w:after="26"/>
      </w:pPr>
      <w:r>
        <w:t>managementul sevrajului și al intoxicației</w:t>
      </w:r>
    </w:p>
    <w:p>
      <w:pPr>
        <w:pStyle w:val="ListBullet"/>
        <w:spacing w:after="26"/>
      </w:pPr>
      <w:r>
        <w:t>farmacoterapia tulburării de consum, când este indicată</w:t>
      </w:r>
    </w:p>
    <w:p>
      <w:pPr>
        <w:pStyle w:val="ListBullet"/>
        <w:spacing w:after="26"/>
      </w:pPr>
      <w:r>
        <w:t>tratamentul comorbidităților psihice și somatice</w:t>
      </w:r>
    </w:p>
    <w:p>
      <w:pPr>
        <w:pStyle w:val="ListBullet"/>
        <w:spacing w:after="26"/>
      </w:pPr>
      <w:r>
        <w:t>monitorizare, analize, aderență și reacții adverse</w:t>
      </w:r>
    </w:p>
    <w:p>
      <w:pPr>
        <w:pStyle w:val="ListBullet"/>
        <w:spacing w:after="26"/>
      </w:pPr>
      <w:r>
        <w:t>reducerea riscului de supradoză și educația privind interacțiunile</w:t>
      </w:r>
    </w:p>
    <w:p>
      <w:pPr>
        <w:pStyle w:val="Heading3"/>
        <w:keepNext/>
      </w:pPr>
      <w:r>
        <w:t>Indicatori orientativi</w:t>
      </w:r>
    </w:p>
    <w:p>
      <w:pPr>
        <w:pStyle w:val="ListBullet"/>
        <w:spacing w:after="26"/>
      </w:pPr>
      <w:r>
        <w:t>consultație și investigații realizate</w:t>
      </w:r>
    </w:p>
    <w:p>
      <w:pPr>
        <w:pStyle w:val="ListBullet"/>
        <w:spacing w:after="26"/>
      </w:pPr>
      <w:r>
        <w:t>aderență și tolerabilitate</w:t>
      </w:r>
    </w:p>
    <w:p>
      <w:pPr>
        <w:pStyle w:val="ListBullet"/>
        <w:spacing w:after="26"/>
      </w:pPr>
      <w:r>
        <w:t>sevraj/craving</w:t>
      </w:r>
    </w:p>
    <w:p>
      <w:pPr>
        <w:pStyle w:val="ListBullet"/>
        <w:spacing w:after="26"/>
      </w:pPr>
      <w:r>
        <w:t>somn și simptome</w:t>
      </w:r>
    </w:p>
    <w:p>
      <w:pPr>
        <w:pStyle w:val="ListBullet"/>
        <w:spacing w:after="26"/>
      </w:pPr>
      <w:r>
        <w:t>urgențe/reinternări</w:t>
      </w:r>
    </w:p>
    <w:tbl>
      <w:tblPr>
        <w:tblW w:type="auto" w:w="0"/>
        <w:jc w:val="center"/>
        <w:tblLayout w:type="fixed"/>
        <w:tblLook w:firstColumn="1" w:firstRow="1" w:lastColumn="0" w:lastRow="0" w:noHBand="0" w:noVBand="1" w:val="04A0"/>
      </w:tblPr>
      <w:tblGrid>
        <w:gridCol w:w="9638"/>
      </w:tblGrid>
      <w:tr>
        <w:tc>
          <w:tcPr>
            <w:tcW w:type="dxa" w:w="9411"/>
            <w:shd w:fill="FBEDEE"/>
            <w:tcBorders>
              <w:top w:val="single" w:sz="8" w:color="A43B3B"/>
              <w:left w:val="single" w:sz="8" w:color="A43B3B"/>
              <w:bottom w:val="single" w:sz="8" w:color="A43B3B"/>
              <w:right w:val="single" w:sz="8" w:color="A43B3B"/>
            </w:tcBorders>
            <w:tcMar>
              <w:top w:w="120" w:type="dxa"/>
              <w:start w:w="150" w:type="dxa"/>
              <w:bottom w:w="120" w:type="dxa"/>
              <w:end w:w="150" w:type="dxa"/>
            </w:tcMar>
            <w:vAlign w:val="top"/>
          </w:tcPr>
          <w:p>
            <w:pPr>
              <w:spacing w:line="240" w:lineRule="auto"/>
            </w:pPr>
            <w:r>
              <w:rPr>
                <w:rFonts w:ascii="Arial" w:hAnsi="Arial"/>
                <w:b/>
                <w:color w:val="A43B3B"/>
                <w:sz w:val="21"/>
              </w:rPr>
              <w:t>Limită clinică</w:t>
            </w:r>
          </w:p>
          <w:p>
            <w:pPr>
              <w:spacing w:after="0" w:line="240" w:lineRule="auto"/>
            </w:pPr>
            <w:r>
              <w:rPr>
                <w:rFonts w:ascii="Arial" w:hAnsi="Arial"/>
              </w:rPr>
              <w:t>Nu se oferă prin chatbot sfaturi de detoxifiere, doze sau modificări ale tratamentului.</w:t>
            </w:r>
          </w:p>
        </w:tc>
      </w:tr>
    </w:tbl>
    <w:p>
      <w:pPr>
        <w:spacing w:after="20"/>
      </w:pPr>
    </w:p>
    <w:p>
      <w:pPr>
        <w:pStyle w:val="Heading2"/>
        <w:keepNext/>
      </w:pPr>
      <w:r>
        <w:t>6.2. Cărarea înțelegerii de sine</w:t>
      </w:r>
    </w:p>
    <w:p>
      <w:pPr>
        <w:spacing w:after="70"/>
      </w:pPr>
      <w:r>
        <w:rPr>
          <w:i w:val="0"/>
        </w:rPr>
        <w:t>Clarificarea funcției consumului și dezvoltarea unor răspunsuri alternative.</w:t>
      </w:r>
    </w:p>
    <w:p>
      <w:pPr>
        <w:pStyle w:val="Heading3"/>
        <w:keepNext/>
      </w:pPr>
      <w:r>
        <w:t>Intervenții posibile</w:t>
      </w:r>
    </w:p>
    <w:p>
      <w:pPr>
        <w:pStyle w:val="ListBullet"/>
        <w:spacing w:after="26"/>
      </w:pPr>
      <w:r>
        <w:t>interviu motivațional</w:t>
      </w:r>
    </w:p>
    <w:p>
      <w:pPr>
        <w:pStyle w:val="ListBullet"/>
        <w:spacing w:after="26"/>
      </w:pPr>
      <w:r>
        <w:t>CBT și prevenirea recăderii</w:t>
      </w:r>
    </w:p>
    <w:p>
      <w:pPr>
        <w:pStyle w:val="ListBullet"/>
        <w:spacing w:after="26"/>
      </w:pPr>
      <w:r>
        <w:t>ACT/DBT sau alte intervenții în competență</w:t>
      </w:r>
    </w:p>
    <w:p>
      <w:pPr>
        <w:pStyle w:val="ListBullet"/>
        <w:spacing w:after="26"/>
      </w:pPr>
      <w:r>
        <w:t>analiza lanțului comportamental</w:t>
      </w:r>
    </w:p>
    <w:p>
      <w:pPr>
        <w:pStyle w:val="ListBullet"/>
        <w:spacing w:after="26"/>
      </w:pPr>
      <w:r>
        <w:t>abordarea traumei numai după stabilizare și indicație</w:t>
      </w:r>
    </w:p>
    <w:p>
      <w:pPr>
        <w:pStyle w:val="Heading3"/>
        <w:keepNext/>
      </w:pPr>
      <w:r>
        <w:t>Indicatori orientativi</w:t>
      </w:r>
    </w:p>
    <w:p>
      <w:pPr>
        <w:pStyle w:val="ListBullet"/>
        <w:spacing w:after="26"/>
      </w:pPr>
      <w:r>
        <w:t>triggeri identificați</w:t>
      </w:r>
    </w:p>
    <w:p>
      <w:pPr>
        <w:pStyle w:val="ListBullet"/>
        <w:spacing w:after="26"/>
      </w:pPr>
      <w:r>
        <w:t>strategii utilizate</w:t>
      </w:r>
    </w:p>
    <w:p>
      <w:pPr>
        <w:pStyle w:val="ListBullet"/>
        <w:spacing w:after="26"/>
      </w:pPr>
      <w:r>
        <w:t>capacitate de amânare</w:t>
      </w:r>
    </w:p>
    <w:p>
      <w:pPr>
        <w:pStyle w:val="ListBullet"/>
        <w:spacing w:after="26"/>
      </w:pPr>
      <w:r>
        <w:t>autoeficacitate</w:t>
      </w:r>
    </w:p>
    <w:p>
      <w:pPr>
        <w:pStyle w:val="ListBullet"/>
        <w:spacing w:after="26"/>
      </w:pPr>
      <w:r>
        <w:t>cerere precoce de ajutor</w:t>
      </w:r>
    </w:p>
    <w:tbl>
      <w:tblPr>
        <w:tblW w:type="auto" w:w="0"/>
        <w:jc w:val="center"/>
        <w:tblLayout w:type="fixed"/>
        <w:tblLook w:firstColumn="1" w:firstRow="1" w:lastColumn="0" w:lastRow="0" w:noHBand="0" w:noVBand="1" w:val="04A0"/>
      </w:tblPr>
      <w:tblGrid>
        <w:gridCol w:w="9638"/>
      </w:tblGrid>
      <w:tr>
        <w:tc>
          <w:tcPr>
            <w:tcW w:type="dxa" w:w="9411"/>
            <w:shd w:fill="F4F6F8"/>
            <w:tcBorders>
              <w:top w:val="single" w:sz="8" w:color="17324D"/>
              <w:left w:val="single" w:sz="8" w:color="17324D"/>
              <w:bottom w:val="single" w:sz="8" w:color="17324D"/>
              <w:right w:val="single" w:sz="8" w:color="17324D"/>
            </w:tcBorders>
            <w:tcMar>
              <w:top w:w="120" w:type="dxa"/>
              <w:start w:w="150" w:type="dxa"/>
              <w:bottom w:w="120" w:type="dxa"/>
              <w:end w:w="150" w:type="dxa"/>
            </w:tcMar>
            <w:vAlign w:val="top"/>
          </w:tcPr>
          <w:p>
            <w:pPr>
              <w:spacing w:line="240" w:lineRule="auto"/>
            </w:pPr>
            <w:r>
              <w:rPr>
                <w:rFonts w:ascii="Arial" w:hAnsi="Arial"/>
                <w:b/>
                <w:color w:val="17324D"/>
                <w:sz w:val="21"/>
              </w:rPr>
              <w:t>Limită clinică</w:t>
            </w:r>
          </w:p>
          <w:p>
            <w:pPr>
              <w:spacing w:after="0" w:line="240" w:lineRule="auto"/>
            </w:pPr>
            <w:r>
              <w:rPr>
                <w:rFonts w:ascii="Arial" w:hAnsi="Arial"/>
              </w:rPr>
              <w:t>Exercițiile nu trebuie să deschidă traumă severă fără cadru terapeutic și plan de stabilizare.</w:t>
            </w:r>
          </w:p>
        </w:tc>
      </w:tr>
    </w:tbl>
    <w:p>
      <w:pPr>
        <w:spacing w:after="20"/>
      </w:pPr>
    </w:p>
    <w:p>
      <w:pPr>
        <w:pStyle w:val="Heading2"/>
        <w:keepNext/>
      </w:pPr>
      <w:r>
        <w:t>6.3. Cărarea comunității</w:t>
      </w:r>
    </w:p>
    <w:p>
      <w:pPr>
        <w:spacing w:after="70"/>
      </w:pPr>
      <w:r>
        <w:rPr>
          <w:i w:val="0"/>
        </w:rPr>
        <w:t>Reducerea izolării și construirea unei rețele de sprijin.</w:t>
      </w:r>
    </w:p>
    <w:p>
      <w:pPr>
        <w:pStyle w:val="Heading3"/>
        <w:keepNext/>
      </w:pPr>
      <w:r>
        <w:t>Intervenții posibile</w:t>
      </w:r>
    </w:p>
    <w:p>
      <w:pPr>
        <w:pStyle w:val="ListBullet"/>
        <w:spacing w:after="26"/>
      </w:pPr>
      <w:r>
        <w:t>grupuri clinice și de suport</w:t>
      </w:r>
    </w:p>
    <w:p>
      <w:pPr>
        <w:pStyle w:val="ListBullet"/>
        <w:spacing w:after="26"/>
      </w:pPr>
      <w:r>
        <w:t>peer support</w:t>
      </w:r>
    </w:p>
    <w:p>
      <w:pPr>
        <w:pStyle w:val="ListBullet"/>
        <w:spacing w:after="26"/>
      </w:pPr>
      <w:r>
        <w:t>AA/NA/SMART sau alte comunități, după preferință</w:t>
      </w:r>
    </w:p>
    <w:p>
      <w:pPr>
        <w:pStyle w:val="ListBullet"/>
        <w:spacing w:after="26"/>
      </w:pPr>
      <w:r>
        <w:t>mentor/partener de responsabilitate</w:t>
      </w:r>
    </w:p>
    <w:p>
      <w:pPr>
        <w:pStyle w:val="ListBullet"/>
        <w:spacing w:after="26"/>
      </w:pPr>
      <w:r>
        <w:t>grupuri pentru familie</w:t>
      </w:r>
    </w:p>
    <w:p>
      <w:pPr>
        <w:pStyle w:val="Heading3"/>
        <w:keepNext/>
      </w:pPr>
      <w:r>
        <w:t>Indicatori orientativi</w:t>
      </w:r>
    </w:p>
    <w:p>
      <w:pPr>
        <w:pStyle w:val="ListBullet"/>
        <w:spacing w:after="26"/>
      </w:pPr>
      <w:r>
        <w:t>prezență</w:t>
      </w:r>
    </w:p>
    <w:p>
      <w:pPr>
        <w:pStyle w:val="ListBullet"/>
        <w:spacing w:after="26"/>
      </w:pPr>
      <w:r>
        <w:t>contacte inițiate</w:t>
      </w:r>
    </w:p>
    <w:p>
      <w:pPr>
        <w:pStyle w:val="ListBullet"/>
        <w:spacing w:after="26"/>
      </w:pPr>
      <w:r>
        <w:t>sprijin disponibil</w:t>
      </w:r>
    </w:p>
    <w:p>
      <w:pPr>
        <w:pStyle w:val="ListBullet"/>
        <w:spacing w:after="26"/>
      </w:pPr>
      <w:r>
        <w:t>apartenență</w:t>
      </w:r>
    </w:p>
    <w:p>
      <w:pPr>
        <w:pStyle w:val="ListBullet"/>
        <w:spacing w:after="26"/>
      </w:pPr>
      <w:r>
        <w:t>reducerea izolării</w:t>
      </w:r>
    </w:p>
    <w:tbl>
      <w:tblPr>
        <w:tblW w:type="auto" w:w="0"/>
        <w:jc w:val="center"/>
        <w:tblLayout w:type="fixed"/>
        <w:tblLook w:firstColumn="1" w:firstRow="1" w:lastColumn="0" w:lastRow="0" w:noHBand="0" w:noVBand="1" w:val="04A0"/>
      </w:tblPr>
      <w:tblGrid>
        <w:gridCol w:w="9638"/>
      </w:tblGrid>
      <w:tr>
        <w:tc>
          <w:tcPr>
            <w:tcW w:type="dxa" w:w="9411"/>
            <w:shd w:fill="F4F6F8"/>
            <w:tcBorders>
              <w:top w:val="single" w:sz="8" w:color="17324D"/>
              <w:left w:val="single" w:sz="8" w:color="17324D"/>
              <w:bottom w:val="single" w:sz="8" w:color="17324D"/>
              <w:right w:val="single" w:sz="8" w:color="17324D"/>
            </w:tcBorders>
            <w:tcMar>
              <w:top w:w="120" w:type="dxa"/>
              <w:start w:w="150" w:type="dxa"/>
              <w:bottom w:w="120" w:type="dxa"/>
              <w:end w:w="150" w:type="dxa"/>
            </w:tcMar>
            <w:vAlign w:val="top"/>
          </w:tcPr>
          <w:p>
            <w:pPr>
              <w:spacing w:line="240" w:lineRule="auto"/>
            </w:pPr>
            <w:r>
              <w:rPr>
                <w:rFonts w:ascii="Arial" w:hAnsi="Arial"/>
                <w:b/>
                <w:color w:val="17324D"/>
                <w:sz w:val="21"/>
              </w:rPr>
              <w:t>Limită clinică</w:t>
            </w:r>
          </w:p>
          <w:p>
            <w:pPr>
              <w:spacing w:after="0" w:line="240" w:lineRule="auto"/>
            </w:pPr>
            <w:r>
              <w:rPr>
                <w:rFonts w:ascii="Arial" w:hAnsi="Arial"/>
              </w:rPr>
              <w:t>Grupurile externe trebuie prezentate ca opțiuni, nu ca substitut obligatoriu pentru tratament.</w:t>
            </w:r>
          </w:p>
        </w:tc>
      </w:tr>
    </w:tbl>
    <w:p>
      <w:pPr>
        <w:spacing w:after="20"/>
      </w:pPr>
    </w:p>
    <w:p>
      <w:pPr>
        <w:pStyle w:val="Heading2"/>
        <w:keepNext/>
      </w:pPr>
      <w:r>
        <w:t>6.4. Cărarea spirituală</w:t>
      </w:r>
    </w:p>
    <w:p>
      <w:pPr>
        <w:spacing w:after="70"/>
      </w:pPr>
      <w:r>
        <w:rPr>
          <w:i w:val="0"/>
        </w:rPr>
        <w:t>Integrarea valorilor, sensului și spiritualității alese de pacient.</w:t>
      </w:r>
    </w:p>
    <w:p>
      <w:pPr>
        <w:pStyle w:val="Heading3"/>
        <w:keepNext/>
      </w:pPr>
      <w:r>
        <w:t>Intervenții posibile</w:t>
      </w:r>
    </w:p>
    <w:p>
      <w:pPr>
        <w:pStyle w:val="ListBullet"/>
        <w:spacing w:after="26"/>
      </w:pPr>
      <w:r>
        <w:t>screening spiritual scurt</w:t>
      </w:r>
    </w:p>
    <w:p>
      <w:pPr>
        <w:pStyle w:val="ListBullet"/>
        <w:spacing w:after="26"/>
      </w:pPr>
      <w:r>
        <w:t>clarificarea valorilor</w:t>
      </w:r>
    </w:p>
    <w:p>
      <w:pPr>
        <w:pStyle w:val="ListBullet"/>
        <w:spacing w:after="26"/>
      </w:pPr>
      <w:r>
        <w:t>consiliere spirituală voluntară</w:t>
      </w:r>
    </w:p>
    <w:p>
      <w:pPr>
        <w:pStyle w:val="ListBullet"/>
        <w:spacing w:after="26"/>
      </w:pPr>
      <w:r>
        <w:t>meditație/rugăciune/ritualuri compatibile cu tratamentul</w:t>
      </w:r>
    </w:p>
    <w:p>
      <w:pPr>
        <w:pStyle w:val="ListBullet"/>
        <w:spacing w:after="26"/>
      </w:pPr>
      <w:r>
        <w:t>reconciliere și acțiuni prosociale sigure</w:t>
      </w:r>
    </w:p>
    <w:p>
      <w:pPr>
        <w:pStyle w:val="Heading3"/>
        <w:keepNext/>
      </w:pPr>
      <w:r>
        <w:t>Indicatori orientativi</w:t>
      </w:r>
    </w:p>
    <w:p>
      <w:pPr>
        <w:pStyle w:val="ListBullet"/>
        <w:spacing w:after="26"/>
      </w:pPr>
      <w:r>
        <w:t>sens</w:t>
      </w:r>
    </w:p>
    <w:p>
      <w:pPr>
        <w:pStyle w:val="ListBullet"/>
        <w:spacing w:after="26"/>
      </w:pPr>
      <w:r>
        <w:t>speranță</w:t>
      </w:r>
    </w:p>
    <w:p>
      <w:pPr>
        <w:pStyle w:val="ListBullet"/>
        <w:spacing w:after="26"/>
      </w:pPr>
      <w:r>
        <w:t>aliniere cu valorile</w:t>
      </w:r>
    </w:p>
    <w:p>
      <w:pPr>
        <w:pStyle w:val="ListBullet"/>
        <w:spacing w:after="26"/>
      </w:pPr>
      <w:r>
        <w:t>apartenență</w:t>
      </w:r>
    </w:p>
    <w:p>
      <w:pPr>
        <w:pStyle w:val="ListBullet"/>
        <w:spacing w:after="26"/>
      </w:pPr>
      <w:r>
        <w:t>reducerea rușinii</w:t>
      </w:r>
    </w:p>
    <w:tbl>
      <w:tblPr>
        <w:tblW w:type="auto" w:w="0"/>
        <w:jc w:val="center"/>
        <w:tblLayout w:type="fixed"/>
        <w:tblLook w:firstColumn="1" w:firstRow="1" w:lastColumn="0" w:lastRow="0" w:noHBand="0" w:noVBand="1" w:val="04A0"/>
      </w:tblPr>
      <w:tblGrid>
        <w:gridCol w:w="9638"/>
      </w:tblGrid>
      <w:tr>
        <w:tc>
          <w:tcPr>
            <w:tcW w:type="dxa" w:w="9411"/>
            <w:shd w:fill="FBEDEE"/>
            <w:tcBorders>
              <w:top w:val="single" w:sz="8" w:color="A43B3B"/>
              <w:left w:val="single" w:sz="8" w:color="A43B3B"/>
              <w:bottom w:val="single" w:sz="8" w:color="A43B3B"/>
              <w:right w:val="single" w:sz="8" w:color="A43B3B"/>
            </w:tcBorders>
            <w:tcMar>
              <w:top w:w="120" w:type="dxa"/>
              <w:start w:w="150" w:type="dxa"/>
              <w:bottom w:w="120" w:type="dxa"/>
              <w:end w:w="150" w:type="dxa"/>
            </w:tcMar>
            <w:vAlign w:val="top"/>
          </w:tcPr>
          <w:p>
            <w:pPr>
              <w:spacing w:line="240" w:lineRule="auto"/>
            </w:pPr>
            <w:r>
              <w:rPr>
                <w:rFonts w:ascii="Arial" w:hAnsi="Arial"/>
                <w:b/>
                <w:color w:val="A43B3B"/>
                <w:sz w:val="21"/>
              </w:rPr>
              <w:t>Limită clinică</w:t>
            </w:r>
          </w:p>
          <w:p>
            <w:pPr>
              <w:spacing w:after="0" w:line="240" w:lineRule="auto"/>
            </w:pPr>
            <w:r>
              <w:rPr>
                <w:rFonts w:ascii="Arial" w:hAnsi="Arial"/>
              </w:rPr>
              <w:t>Sunt interzise prozelitismul, culpabilizarea, validarea delirului și recomandarea de a opri tratamentul.</w:t>
            </w:r>
          </w:p>
        </w:tc>
      </w:tr>
    </w:tbl>
    <w:p>
      <w:pPr>
        <w:spacing w:after="20"/>
      </w:pPr>
    </w:p>
    <w:p>
      <w:pPr>
        <w:pStyle w:val="Heading2"/>
        <w:keepNext/>
      </w:pPr>
      <w:r>
        <w:t>6.5. Cărarea corpului și a ritmului</w:t>
      </w:r>
    </w:p>
    <w:p>
      <w:pPr>
        <w:spacing w:after="70"/>
      </w:pPr>
      <w:r>
        <w:rPr>
          <w:i w:val="0"/>
        </w:rPr>
        <w:t>Reconstruirea stabilității cotidiene prin somn, alimentație, mișcare și rutină.</w:t>
      </w:r>
    </w:p>
    <w:p>
      <w:pPr>
        <w:pStyle w:val="Heading3"/>
        <w:keepNext/>
      </w:pPr>
      <w:r>
        <w:t>Intervenții posibile</w:t>
      </w:r>
    </w:p>
    <w:p>
      <w:pPr>
        <w:pStyle w:val="ListBullet"/>
        <w:spacing w:after="26"/>
      </w:pPr>
      <w:r>
        <w:t>plan de somn</w:t>
      </w:r>
    </w:p>
    <w:p>
      <w:pPr>
        <w:pStyle w:val="ListBullet"/>
        <w:spacing w:after="26"/>
      </w:pPr>
      <w:r>
        <w:t>nutriție și hidratare</w:t>
      </w:r>
    </w:p>
    <w:p>
      <w:pPr>
        <w:pStyle w:val="ListBullet"/>
        <w:spacing w:after="26"/>
      </w:pPr>
      <w:r>
        <w:t>mișcare adaptată</w:t>
      </w:r>
    </w:p>
    <w:p>
      <w:pPr>
        <w:pStyle w:val="ListBullet"/>
        <w:spacing w:after="26"/>
      </w:pPr>
      <w:r>
        <w:t>autoîngrijire și igienă</w:t>
      </w:r>
    </w:p>
    <w:p>
      <w:pPr>
        <w:pStyle w:val="ListBullet"/>
        <w:spacing w:after="26"/>
      </w:pPr>
      <w:r>
        <w:t>relaxare, respirație și igienă digitală</w:t>
      </w:r>
    </w:p>
    <w:p>
      <w:pPr>
        <w:pStyle w:val="Heading3"/>
        <w:keepNext/>
      </w:pPr>
      <w:r>
        <w:t>Indicatori orientativi</w:t>
      </w:r>
    </w:p>
    <w:p>
      <w:pPr>
        <w:pStyle w:val="ListBullet"/>
        <w:spacing w:after="26"/>
      </w:pPr>
      <w:r>
        <w:t>regularitatea somnului</w:t>
      </w:r>
    </w:p>
    <w:p>
      <w:pPr>
        <w:pStyle w:val="ListBullet"/>
        <w:spacing w:after="26"/>
      </w:pPr>
      <w:r>
        <w:t>mese și hidratare</w:t>
      </w:r>
    </w:p>
    <w:p>
      <w:pPr>
        <w:pStyle w:val="ListBullet"/>
        <w:spacing w:after="26"/>
      </w:pPr>
      <w:r>
        <w:t>activitate</w:t>
      </w:r>
    </w:p>
    <w:p>
      <w:pPr>
        <w:pStyle w:val="ListBullet"/>
        <w:spacing w:after="26"/>
      </w:pPr>
      <w:r>
        <w:t>autoîngrijire</w:t>
      </w:r>
    </w:p>
    <w:p>
      <w:pPr>
        <w:pStyle w:val="ListBullet"/>
        <w:spacing w:after="26"/>
      </w:pPr>
      <w:r>
        <w:t>zile cu rutină minimă</w:t>
      </w:r>
    </w:p>
    <w:tbl>
      <w:tblPr>
        <w:tblW w:type="auto" w:w="0"/>
        <w:jc w:val="center"/>
        <w:tblLayout w:type="fixed"/>
        <w:tblLook w:firstColumn="1" w:firstRow="1" w:lastColumn="0" w:lastRow="0" w:noHBand="0" w:noVBand="1" w:val="04A0"/>
      </w:tblPr>
      <w:tblGrid>
        <w:gridCol w:w="9638"/>
      </w:tblGrid>
      <w:tr>
        <w:tc>
          <w:tcPr>
            <w:tcW w:type="dxa" w:w="9411"/>
            <w:shd w:fill="FBEDEE"/>
            <w:tcBorders>
              <w:top w:val="single" w:sz="8" w:color="A43B3B"/>
              <w:left w:val="single" w:sz="8" w:color="A43B3B"/>
              <w:bottom w:val="single" w:sz="8" w:color="A43B3B"/>
              <w:right w:val="single" w:sz="8" w:color="A43B3B"/>
            </w:tcBorders>
            <w:tcMar>
              <w:top w:w="120" w:type="dxa"/>
              <w:start w:w="150" w:type="dxa"/>
              <w:bottom w:w="120" w:type="dxa"/>
              <w:end w:w="150" w:type="dxa"/>
            </w:tcMar>
            <w:vAlign w:val="top"/>
          </w:tcPr>
          <w:p>
            <w:pPr>
              <w:spacing w:line="240" w:lineRule="auto"/>
            </w:pPr>
            <w:r>
              <w:rPr>
                <w:rFonts w:ascii="Arial" w:hAnsi="Arial"/>
                <w:b/>
                <w:color w:val="A43B3B"/>
                <w:sz w:val="21"/>
              </w:rPr>
              <w:t>Limită clinică</w:t>
            </w:r>
          </w:p>
          <w:p>
            <w:pPr>
              <w:spacing w:after="0" w:line="240" w:lineRule="auto"/>
            </w:pPr>
            <w:r>
              <w:rPr>
                <w:rFonts w:ascii="Arial" w:hAnsi="Arial"/>
              </w:rPr>
              <w:t>Insomnia severă, scăderea necesarului de somn sau deteriorarea somatică impun reevaluare clinică.</w:t>
            </w:r>
          </w:p>
        </w:tc>
      </w:tr>
    </w:tbl>
    <w:p>
      <w:pPr>
        <w:spacing w:after="20"/>
      </w:pPr>
    </w:p>
    <w:p>
      <w:pPr>
        <w:pStyle w:val="Heading2"/>
        <w:keepNext/>
      </w:pPr>
      <w:r>
        <w:t>6.6. Cărarea creației și a rostului</w:t>
      </w:r>
    </w:p>
    <w:p>
      <w:pPr>
        <w:spacing w:after="70"/>
      </w:pPr>
      <w:r>
        <w:rPr>
          <w:i w:val="0"/>
        </w:rPr>
        <w:t>Construirea unei identități și a unor recompense sănătoase dincolo de consum.</w:t>
      </w:r>
    </w:p>
    <w:p>
      <w:pPr>
        <w:pStyle w:val="Heading3"/>
        <w:keepNext/>
      </w:pPr>
      <w:r>
        <w:t>Intervenții posibile</w:t>
      </w:r>
    </w:p>
    <w:p>
      <w:pPr>
        <w:pStyle w:val="ListBullet"/>
        <w:spacing w:after="26"/>
      </w:pPr>
      <w:r>
        <w:t>ergoterapie, artă, muzică, scris și activități practice</w:t>
      </w:r>
    </w:p>
    <w:p>
      <w:pPr>
        <w:pStyle w:val="ListBullet"/>
        <w:spacing w:after="26"/>
      </w:pPr>
      <w:r>
        <w:t>educație și competențe</w:t>
      </w:r>
    </w:p>
    <w:p>
      <w:pPr>
        <w:pStyle w:val="ListBullet"/>
        <w:spacing w:after="26"/>
      </w:pPr>
      <w:r>
        <w:t>voluntariat</w:t>
      </w:r>
    </w:p>
    <w:p>
      <w:pPr>
        <w:pStyle w:val="ListBullet"/>
        <w:spacing w:after="26"/>
      </w:pPr>
      <w:r>
        <w:t>orientare profesională</w:t>
      </w:r>
    </w:p>
    <w:p>
      <w:pPr>
        <w:pStyle w:val="ListBullet"/>
        <w:spacing w:after="26"/>
      </w:pPr>
      <w:r>
        <w:t>proiecte personale și activități plăcute</w:t>
      </w:r>
    </w:p>
    <w:p>
      <w:pPr>
        <w:pStyle w:val="Heading3"/>
        <w:keepNext/>
      </w:pPr>
      <w:r>
        <w:t>Indicatori orientativi</w:t>
      </w:r>
    </w:p>
    <w:p>
      <w:pPr>
        <w:pStyle w:val="ListBullet"/>
        <w:spacing w:after="26"/>
      </w:pPr>
      <w:r>
        <w:t>timp structurat</w:t>
      </w:r>
    </w:p>
    <w:p>
      <w:pPr>
        <w:pStyle w:val="ListBullet"/>
        <w:spacing w:after="26"/>
      </w:pPr>
      <w:r>
        <w:t>activități finalizate</w:t>
      </w:r>
    </w:p>
    <w:p>
      <w:pPr>
        <w:pStyle w:val="ListBullet"/>
        <w:spacing w:after="26"/>
      </w:pPr>
      <w:r>
        <w:t>interes și satisfacție</w:t>
      </w:r>
    </w:p>
    <w:p>
      <w:pPr>
        <w:pStyle w:val="ListBullet"/>
        <w:spacing w:after="26"/>
      </w:pPr>
      <w:r>
        <w:t>revenire educațională/profesională</w:t>
      </w:r>
    </w:p>
    <w:p>
      <w:pPr>
        <w:pStyle w:val="ListBullet"/>
        <w:spacing w:after="26"/>
      </w:pPr>
      <w:r>
        <w:t>autonomie</w:t>
      </w:r>
    </w:p>
    <w:tbl>
      <w:tblPr>
        <w:tblW w:type="auto" w:w="0"/>
        <w:jc w:val="center"/>
        <w:tblLayout w:type="fixed"/>
        <w:tblLook w:firstColumn="1" w:firstRow="1" w:lastColumn="0" w:lastRow="0" w:noHBand="0" w:noVBand="1" w:val="04A0"/>
      </w:tblPr>
      <w:tblGrid>
        <w:gridCol w:w="9638"/>
      </w:tblGrid>
      <w:tr>
        <w:tc>
          <w:tcPr>
            <w:tcW w:type="dxa" w:w="9411"/>
            <w:shd w:fill="F4F6F8"/>
            <w:tcBorders>
              <w:top w:val="single" w:sz="8" w:color="17324D"/>
              <w:left w:val="single" w:sz="8" w:color="17324D"/>
              <w:bottom w:val="single" w:sz="8" w:color="17324D"/>
              <w:right w:val="single" w:sz="8" w:color="17324D"/>
            </w:tcBorders>
            <w:tcMar>
              <w:top w:w="120" w:type="dxa"/>
              <w:start w:w="150" w:type="dxa"/>
              <w:bottom w:w="120" w:type="dxa"/>
              <w:end w:w="150" w:type="dxa"/>
            </w:tcMar>
            <w:vAlign w:val="top"/>
          </w:tcPr>
          <w:p>
            <w:pPr>
              <w:spacing w:line="240" w:lineRule="auto"/>
            </w:pPr>
            <w:r>
              <w:rPr>
                <w:rFonts w:ascii="Arial" w:hAnsi="Arial"/>
                <w:b/>
                <w:color w:val="17324D"/>
                <w:sz w:val="21"/>
              </w:rPr>
              <w:t>Limită clinică</w:t>
            </w:r>
          </w:p>
          <w:p>
            <w:pPr>
              <w:spacing w:after="0" w:line="240" w:lineRule="auto"/>
            </w:pPr>
            <w:r>
              <w:rPr>
                <w:rFonts w:ascii="Arial" w:hAnsi="Arial"/>
              </w:rPr>
              <w:t>Obiectivele trebuie dozate; suprasolicitarea și mediile cu expunere la consum pot crește riscul.</w:t>
            </w:r>
          </w:p>
        </w:tc>
      </w:tr>
    </w:tbl>
    <w:p>
      <w:pPr>
        <w:spacing w:after="20"/>
      </w:pPr>
    </w:p>
    <w:p>
      <w:pPr>
        <w:pStyle w:val="Heading2"/>
        <w:keepNext/>
      </w:pPr>
      <w:r>
        <w:t>6.7. Cărarea reconstrucției</w:t>
      </w:r>
    </w:p>
    <w:p>
      <w:pPr>
        <w:spacing w:after="70"/>
      </w:pPr>
      <w:r>
        <w:rPr>
          <w:i w:val="0"/>
        </w:rPr>
        <w:t>Repararea graduală a condițiilor sociale și relaționale afectate.</w:t>
      </w:r>
    </w:p>
    <w:p>
      <w:pPr>
        <w:pStyle w:val="Heading3"/>
        <w:keepNext/>
      </w:pPr>
      <w:r>
        <w:t>Intervenții posibile</w:t>
      </w:r>
    </w:p>
    <w:p>
      <w:pPr>
        <w:pStyle w:val="ListBullet"/>
        <w:spacing w:after="26"/>
      </w:pPr>
      <w:r>
        <w:t>asistență socială și locuire</w:t>
      </w:r>
    </w:p>
    <w:p>
      <w:pPr>
        <w:pStyle w:val="ListBullet"/>
        <w:spacing w:after="26"/>
      </w:pPr>
      <w:r>
        <w:t>terapie de familie</w:t>
      </w:r>
    </w:p>
    <w:p>
      <w:pPr>
        <w:pStyle w:val="ListBullet"/>
        <w:spacing w:after="26"/>
      </w:pPr>
      <w:r>
        <w:t>gestionarea banilor și datoriilor</w:t>
      </w:r>
    </w:p>
    <w:p>
      <w:pPr>
        <w:pStyle w:val="ListBullet"/>
        <w:spacing w:after="26"/>
      </w:pPr>
      <w:r>
        <w:t>reintegrare în muncă</w:t>
      </w:r>
    </w:p>
    <w:p>
      <w:pPr>
        <w:pStyle w:val="ListBullet"/>
        <w:spacing w:after="26"/>
      </w:pPr>
      <w:r>
        <w:t>documente, juridic și responsabilități parentale</w:t>
      </w:r>
    </w:p>
    <w:p>
      <w:pPr>
        <w:pStyle w:val="Heading3"/>
        <w:keepNext/>
      </w:pPr>
      <w:r>
        <w:t>Indicatori orientativi</w:t>
      </w:r>
    </w:p>
    <w:p>
      <w:pPr>
        <w:pStyle w:val="ListBullet"/>
        <w:spacing w:after="26"/>
      </w:pPr>
      <w:r>
        <w:t>stabilitate locativă</w:t>
      </w:r>
    </w:p>
    <w:p>
      <w:pPr>
        <w:pStyle w:val="ListBullet"/>
        <w:spacing w:after="26"/>
      </w:pPr>
      <w:r>
        <w:t>conflicte</w:t>
      </w:r>
    </w:p>
    <w:p>
      <w:pPr>
        <w:pStyle w:val="ListBullet"/>
        <w:spacing w:after="26"/>
      </w:pPr>
      <w:r>
        <w:t>responsabilități</w:t>
      </w:r>
    </w:p>
    <w:p>
      <w:pPr>
        <w:pStyle w:val="ListBullet"/>
        <w:spacing w:after="26"/>
      </w:pPr>
      <w:r>
        <w:t>ocupare</w:t>
      </w:r>
    </w:p>
    <w:p>
      <w:pPr>
        <w:pStyle w:val="ListBullet"/>
        <w:spacing w:after="26"/>
      </w:pPr>
      <w:r>
        <w:t>progres financiar/juridic</w:t>
      </w:r>
    </w:p>
    <w:tbl>
      <w:tblPr>
        <w:tblW w:type="auto" w:w="0"/>
        <w:jc w:val="center"/>
        <w:tblLayout w:type="fixed"/>
        <w:tblLook w:firstColumn="1" w:firstRow="1" w:lastColumn="0" w:lastRow="0" w:noHBand="0" w:noVBand="1" w:val="04A0"/>
      </w:tblPr>
      <w:tblGrid>
        <w:gridCol w:w="9638"/>
      </w:tblGrid>
      <w:tr>
        <w:tc>
          <w:tcPr>
            <w:tcW w:type="dxa" w:w="9411"/>
            <w:shd w:fill="F4F6F8"/>
            <w:tcBorders>
              <w:top w:val="single" w:sz="8" w:color="17324D"/>
              <w:left w:val="single" w:sz="8" w:color="17324D"/>
              <w:bottom w:val="single" w:sz="8" w:color="17324D"/>
              <w:right w:val="single" w:sz="8" w:color="17324D"/>
            </w:tcBorders>
            <w:tcMar>
              <w:top w:w="120" w:type="dxa"/>
              <w:start w:w="150" w:type="dxa"/>
              <w:bottom w:w="120" w:type="dxa"/>
              <w:end w:w="150" w:type="dxa"/>
            </w:tcMar>
            <w:vAlign w:val="top"/>
          </w:tcPr>
          <w:p>
            <w:pPr>
              <w:spacing w:line="240" w:lineRule="auto"/>
            </w:pPr>
            <w:r>
              <w:rPr>
                <w:rFonts w:ascii="Arial" w:hAnsi="Arial"/>
                <w:b/>
                <w:color w:val="17324D"/>
                <w:sz w:val="21"/>
              </w:rPr>
              <w:t>Limită clinică</w:t>
            </w:r>
          </w:p>
          <w:p>
            <w:pPr>
              <w:spacing w:after="0" w:line="240" w:lineRule="auto"/>
            </w:pPr>
            <w:r>
              <w:rPr>
                <w:rFonts w:ascii="Arial" w:hAnsi="Arial"/>
              </w:rPr>
              <w:t>Reconcilierea nu este obligatorie; în violență sau exploatare, prioritatea este protecția.</w:t>
            </w:r>
          </w:p>
        </w:tc>
      </w:tr>
    </w:tbl>
    <w:p>
      <w:pPr>
        <w:spacing w:after="20"/>
      </w:pPr>
    </w:p>
    <w:p>
      <w:pPr>
        <w:pStyle w:val="Heading1"/>
        <w:keepNext/>
      </w:pPr>
      <w:r>
        <w:t>7. Planul terapeutic și monitorizarea</w:t>
      </w:r>
    </w:p>
    <w:p>
      <w:pPr>
        <w:pStyle w:val="Heading2"/>
        <w:keepNext/>
      </w:pPr>
      <w:r>
        <w:t>7.1. Structura planului</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85" w:type="dxa"/>
              <w:start w:w="90" w:type="dxa"/>
              <w:bottom w:w="85" w:type="dxa"/>
              <w:end w:w="90" w:type="dxa"/>
            </w:tcMar>
            <w:vAlign w:val="top"/>
          </w:tcPr>
          <w:p>
            <w:pPr>
              <w:spacing w:line="240" w:lineRule="auto"/>
            </w:pPr>
            <w:r>
              <w:rPr>
                <w:rFonts w:ascii="Arial" w:hAnsi="Arial"/>
                <w:b/>
                <w:color w:val="FFFFFF"/>
                <w:sz w:val="17"/>
              </w:rPr>
              <w:t>Element</w:t>
            </w:r>
          </w:p>
        </w:tc>
        <w:tc>
          <w:tcPr>
            <w:tcW w:type="dxa" w:w="7143"/>
            <w:shd w:fill="17324D"/>
            <w:tcMar>
              <w:top w:w="85" w:type="dxa"/>
              <w:start w:w="90" w:type="dxa"/>
              <w:bottom w:w="85" w:type="dxa"/>
              <w:end w:w="90" w:type="dxa"/>
            </w:tcMar>
            <w:vAlign w:val="top"/>
          </w:tcPr>
          <w:p>
            <w:pPr>
              <w:spacing w:line="240" w:lineRule="auto"/>
            </w:pPr>
            <w:r>
              <w:rPr>
                <w:rFonts w:ascii="Arial" w:hAnsi="Arial"/>
                <w:b/>
                <w:color w:val="FFFFFF"/>
                <w:sz w:val="17"/>
              </w:rPr>
              <w:t>Conținut</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Probleme prioritare</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maximum 3–5 probleme formulate observabil</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Obiective</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rezultate relevante pentru pacient și siguranță</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Intervenții</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cine, ce, frecvență, durată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Cărări</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principală și maximum două de sprijin</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Indicatori</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măsuri clinice, funcționale și de participare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Plan de siguranță</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semne, acțiuni, contacte și servicii</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Revizuire</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dată și criterii de intensificare/deintensificare</w:t>
            </w:r>
          </w:p>
        </w:tc>
      </w:tr>
    </w:tbl>
    <w:p>
      <w:pPr>
        <w:spacing w:after="20"/>
      </w:pPr>
    </w:p>
    <w:p>
      <w:pPr>
        <w:pStyle w:val="Heading2"/>
        <w:keepNext/>
      </w:pPr>
      <w:r>
        <w:t>7.2. Planul de șapte zile</w:t>
      </w:r>
    </w:p>
    <w:p>
      <w:pPr>
        <w:pStyle w:val="ListBullet"/>
        <w:spacing w:after="52"/>
      </w:pPr>
      <w:r>
        <w:t>maximum trei obiective;</w:t>
      </w:r>
    </w:p>
    <w:p>
      <w:pPr>
        <w:pStyle w:val="ListBullet"/>
        <w:spacing w:after="52"/>
      </w:pPr>
      <w:r>
        <w:t>un pas suficient de mic pentru a începe;</w:t>
      </w:r>
    </w:p>
    <w:p>
      <w:pPr>
        <w:pStyle w:val="ListBullet"/>
        <w:spacing w:after="52"/>
      </w:pPr>
      <w:r>
        <w:t>obstacol probabil și plan alternativ;</w:t>
      </w:r>
    </w:p>
    <w:p>
      <w:pPr>
        <w:pStyle w:val="ListBullet"/>
        <w:spacing w:after="52"/>
      </w:pPr>
      <w:r>
        <w:t>persoană sau serviciu de sprijin;</w:t>
      </w:r>
    </w:p>
    <w:p>
      <w:pPr>
        <w:pStyle w:val="ListBullet"/>
        <w:spacing w:after="52"/>
      </w:pPr>
      <w:r>
        <w:t>dată de revizuire.</w:t>
      </w:r>
    </w:p>
    <w:p>
      <w:pPr>
        <w:pStyle w:val="Heading2"/>
        <w:keepNext/>
      </w:pPr>
      <w:r>
        <w:t>7.3. Planul de 30 de zile</w:t>
      </w:r>
    </w:p>
    <w:p>
      <w:pPr>
        <w:spacing w:after="70"/>
      </w:pPr>
      <w:r>
        <w:rPr>
          <w:i w:val="0"/>
        </w:rPr>
        <w:t>Vizează stabilizarea: tratament, somn, grup, triggeri, mediu, aderență și primele reparații funcționale. La 30 de zile se reevaluează cărarea principală și intensitatea programului.</w:t>
      </w:r>
    </w:p>
    <w:p>
      <w:pPr>
        <w:pStyle w:val="Heading2"/>
        <w:keepNext/>
      </w:pPr>
      <w:r>
        <w:t>7.4. Planul de 90 de zile</w:t>
      </w:r>
    </w:p>
    <w:p>
      <w:pPr>
        <w:spacing w:after="70"/>
      </w:pPr>
      <w:r>
        <w:rPr>
          <w:i w:val="0"/>
        </w:rPr>
        <w:t>Vizează consolidarea: prevenirea recăderii, autonomie, relații, ocupație, locuire, comunitate și plan de întreținere. Obiectivele sunt adaptate progresului real, nu unei cronologii rigide.</w:t>
      </w:r>
    </w:p>
    <w:p>
      <w:pPr>
        <w:pStyle w:val="Heading2"/>
        <w:keepNext/>
      </w:pPr>
      <w:r>
        <w:t>7.5. Frecvența monitorizării</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984"/>
            <w:shd w:fill="17324D"/>
            <w:tcMar>
              <w:top w:w="85" w:type="dxa"/>
              <w:start w:w="90" w:type="dxa"/>
              <w:bottom w:w="85" w:type="dxa"/>
              <w:end w:w="90" w:type="dxa"/>
            </w:tcMar>
            <w:vAlign w:val="top"/>
          </w:tcPr>
          <w:p>
            <w:pPr>
              <w:spacing w:line="240" w:lineRule="auto"/>
            </w:pPr>
            <w:r>
              <w:rPr>
                <w:rFonts w:ascii="Arial" w:hAnsi="Arial"/>
                <w:b/>
                <w:color w:val="FFFFFF"/>
                <w:sz w:val="17"/>
              </w:rPr>
              <w:t>Fază</w:t>
            </w:r>
          </w:p>
        </w:tc>
        <w:tc>
          <w:tcPr>
            <w:tcW w:type="dxa" w:w="2835"/>
            <w:shd w:fill="17324D"/>
            <w:tcMar>
              <w:top w:w="85" w:type="dxa"/>
              <w:start w:w="90" w:type="dxa"/>
              <w:bottom w:w="85" w:type="dxa"/>
              <w:end w:w="90" w:type="dxa"/>
            </w:tcMar>
            <w:vAlign w:val="top"/>
          </w:tcPr>
          <w:p>
            <w:pPr>
              <w:spacing w:line="240" w:lineRule="auto"/>
            </w:pPr>
            <w:r>
              <w:rPr>
                <w:rFonts w:ascii="Arial" w:hAnsi="Arial"/>
                <w:b/>
                <w:color w:val="FFFFFF"/>
                <w:sz w:val="17"/>
              </w:rPr>
              <w:t>Contact recomandat</w:t>
            </w:r>
          </w:p>
        </w:tc>
        <w:tc>
          <w:tcPr>
            <w:tcW w:type="dxa" w:w="4592"/>
            <w:shd w:fill="17324D"/>
            <w:tcMar>
              <w:top w:w="85" w:type="dxa"/>
              <w:start w:w="90" w:type="dxa"/>
              <w:bottom w:w="85" w:type="dxa"/>
              <w:end w:w="90" w:type="dxa"/>
            </w:tcMar>
            <w:vAlign w:val="top"/>
          </w:tcPr>
          <w:p>
            <w:pPr>
              <w:spacing w:line="240" w:lineRule="auto"/>
            </w:pPr>
            <w:r>
              <w:rPr>
                <w:rFonts w:ascii="Arial" w:hAnsi="Arial"/>
                <w:b/>
                <w:color w:val="FFFFFF"/>
                <w:sz w:val="17"/>
              </w:rPr>
              <w:t>Conținut</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Stabilizare timpurie</w:t>
            </w:r>
          </w:p>
        </w:tc>
        <w:tc>
          <w:tcPr>
            <w:tcW w:type="dxa" w:w="2835"/>
            <w:tcMar>
              <w:top w:w="70" w:type="dxa"/>
              <w:start w:w="75" w:type="dxa"/>
              <w:bottom w:w="70" w:type="dxa"/>
              <w:end w:w="75" w:type="dxa"/>
            </w:tcMar>
            <w:vAlign w:val="top"/>
          </w:tcPr>
          <w:p>
            <w:pPr>
              <w:spacing w:after="0" w:line="240" w:lineRule="auto"/>
            </w:pPr>
            <w:r>
              <w:rPr>
                <w:rFonts w:ascii="Arial" w:hAnsi="Arial"/>
                <w:b w:val="0"/>
                <w:sz w:val="17"/>
              </w:rPr>
              <w:t>mai frecvent, individualizat</w:t>
            </w:r>
          </w:p>
        </w:tc>
        <w:tc>
          <w:tcPr>
            <w:tcW w:type="dxa" w:w="4592"/>
            <w:tcMar>
              <w:top w:w="70" w:type="dxa"/>
              <w:start w:w="75" w:type="dxa"/>
              <w:bottom w:w="70" w:type="dxa"/>
              <w:end w:w="75" w:type="dxa"/>
            </w:tcMar>
            <w:vAlign w:val="top"/>
          </w:tcPr>
          <w:p>
            <w:pPr>
              <w:spacing w:after="0" w:line="240" w:lineRule="auto"/>
            </w:pPr>
            <w:r>
              <w:rPr>
                <w:rFonts w:ascii="Arial" w:hAnsi="Arial"/>
                <w:b w:val="0"/>
                <w:sz w:val="17"/>
              </w:rPr>
              <w:t>siguranță, consum, tratament, somn, suport</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Consolidare</w:t>
            </w:r>
          </w:p>
        </w:tc>
        <w:tc>
          <w:tcPr>
            <w:tcW w:type="dxa" w:w="2835"/>
            <w:tcMar>
              <w:top w:w="70" w:type="dxa"/>
              <w:start w:w="75" w:type="dxa"/>
              <w:bottom w:w="70" w:type="dxa"/>
              <w:end w:w="75" w:type="dxa"/>
            </w:tcMar>
            <w:vAlign w:val="top"/>
            <w:shd w:fill="F9FBFC"/>
          </w:tcPr>
          <w:p>
            <w:pPr>
              <w:spacing w:after="0" w:line="240" w:lineRule="auto"/>
            </w:pPr>
            <w:r>
              <w:rPr>
                <w:rFonts w:ascii="Arial" w:hAnsi="Arial"/>
                <w:b w:val="0"/>
                <w:sz w:val="17"/>
              </w:rPr>
              <w:t>săptămânal/bilunar după nevoie</w:t>
            </w:r>
          </w:p>
        </w:tc>
        <w:tc>
          <w:tcPr>
            <w:tcW w:type="dxa" w:w="4592"/>
            <w:tcMar>
              <w:top w:w="70" w:type="dxa"/>
              <w:start w:w="75" w:type="dxa"/>
              <w:bottom w:w="70" w:type="dxa"/>
              <w:end w:w="75" w:type="dxa"/>
            </w:tcMar>
            <w:vAlign w:val="top"/>
            <w:shd w:fill="F9FBFC"/>
          </w:tcPr>
          <w:p>
            <w:pPr>
              <w:spacing w:after="0" w:line="240" w:lineRule="auto"/>
            </w:pPr>
            <w:r>
              <w:rPr>
                <w:rFonts w:ascii="Arial" w:hAnsi="Arial"/>
                <w:b w:val="0"/>
                <w:sz w:val="17"/>
              </w:rPr>
              <w:t>obiective, triggeri, grup, funcționare</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Întreținere</w:t>
            </w:r>
          </w:p>
        </w:tc>
        <w:tc>
          <w:tcPr>
            <w:tcW w:type="dxa" w:w="2835"/>
            <w:tcMar>
              <w:top w:w="70" w:type="dxa"/>
              <w:start w:w="75" w:type="dxa"/>
              <w:bottom w:w="70" w:type="dxa"/>
              <w:end w:w="75" w:type="dxa"/>
            </w:tcMar>
            <w:vAlign w:val="top"/>
          </w:tcPr>
          <w:p>
            <w:pPr>
              <w:spacing w:after="0" w:line="240" w:lineRule="auto"/>
            </w:pPr>
            <w:r>
              <w:rPr>
                <w:rFonts w:ascii="Arial" w:hAnsi="Arial"/>
                <w:b w:val="0"/>
                <w:sz w:val="17"/>
              </w:rPr>
              <w:t>lunar sau flexibil</w:t>
            </w:r>
          </w:p>
        </w:tc>
        <w:tc>
          <w:tcPr>
            <w:tcW w:type="dxa" w:w="4592"/>
            <w:tcMar>
              <w:top w:w="70" w:type="dxa"/>
              <w:start w:w="75" w:type="dxa"/>
              <w:bottom w:w="70" w:type="dxa"/>
              <w:end w:w="75" w:type="dxa"/>
            </w:tcMar>
            <w:vAlign w:val="top"/>
          </w:tcPr>
          <w:p>
            <w:pPr>
              <w:spacing w:after="0" w:line="240" w:lineRule="auto"/>
            </w:pPr>
            <w:r>
              <w:rPr>
                <w:rFonts w:ascii="Arial" w:hAnsi="Arial"/>
                <w:b w:val="0"/>
                <w:sz w:val="17"/>
              </w:rPr>
              <w:t>semne timpurii, continuitate, revenire rapidă</w:t>
            </w:r>
          </w:p>
        </w:tc>
      </w:tr>
    </w:tbl>
    <w:p>
      <w:pPr>
        <w:spacing w:after="20"/>
      </w:pPr>
    </w:p>
    <w:p>
      <w:pPr>
        <w:pStyle w:val="Heading2"/>
        <w:keepNext/>
      </w:pPr>
      <w:r>
        <w:t>7.6. Set minim de rezultate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984"/>
            <w:shd w:fill="17324D"/>
            <w:tcMar>
              <w:top w:w="85" w:type="dxa"/>
              <w:start w:w="90" w:type="dxa"/>
              <w:bottom w:w="85" w:type="dxa"/>
              <w:end w:w="90" w:type="dxa"/>
            </w:tcMar>
            <w:vAlign w:val="top"/>
          </w:tcPr>
          <w:p>
            <w:pPr>
              <w:spacing w:line="240" w:lineRule="auto"/>
            </w:pPr>
            <w:r>
              <w:rPr>
                <w:rFonts w:ascii="Arial" w:hAnsi="Arial"/>
                <w:b/>
                <w:color w:val="FFFFFF"/>
                <w:sz w:val="17"/>
              </w:rPr>
              <w:t>Domeniu</w:t>
            </w:r>
          </w:p>
        </w:tc>
        <w:tc>
          <w:tcPr>
            <w:tcW w:type="dxa" w:w="7427"/>
            <w:shd w:fill="17324D"/>
            <w:tcMar>
              <w:top w:w="85" w:type="dxa"/>
              <w:start w:w="90" w:type="dxa"/>
              <w:bottom w:w="85" w:type="dxa"/>
              <w:end w:w="90" w:type="dxa"/>
            </w:tcMar>
            <w:vAlign w:val="top"/>
          </w:tcPr>
          <w:p>
            <w:pPr>
              <w:spacing w:line="240" w:lineRule="auto"/>
            </w:pPr>
            <w:r>
              <w:rPr>
                <w:rFonts w:ascii="Arial" w:hAnsi="Arial"/>
                <w:b/>
                <w:color w:val="FFFFFF"/>
                <w:sz w:val="17"/>
              </w:rPr>
              <w:t>Exemple</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Consum</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zile, cantitate, episoade de consum periculos, obiectiv terapeutic</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Siguranță</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supradoză, sevraj, autoagresiune, violență, urgențe</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Sănătate</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simptome psihice, somn, aderență, efecte adverse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Funcționare</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locuire, muncă, relații, autoîngrijire, activitate</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Recuperare</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speranță, autoeficacitate, sens, apartenență, calitatea vieții</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Participare</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sesiuni, grupuri, materiale, obiective și contacte</w:t>
            </w:r>
          </w:p>
        </w:tc>
      </w:tr>
    </w:tbl>
    <w:p>
      <w:pPr>
        <w:spacing w:after="20"/>
      </w:pPr>
    </w:p>
    <w:p>
      <w:pPr>
        <w:pStyle w:val="Heading1"/>
        <w:keepNext/>
      </w:pPr>
      <w:r>
        <w:t>8. Siguranță și escaladare</w:t>
      </w:r>
    </w:p>
    <w:p>
      <w:pPr>
        <w:pStyle w:val="Heading2"/>
        <w:keepNext/>
      </w:pPr>
      <w:r>
        <w:t>8.1. Clase de răspuns</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1701"/>
            <w:shd w:fill="17324D"/>
            <w:tcMar>
              <w:top w:w="85" w:type="dxa"/>
              <w:start w:w="90" w:type="dxa"/>
              <w:bottom w:w="85" w:type="dxa"/>
              <w:end w:w="90" w:type="dxa"/>
            </w:tcMar>
            <w:vAlign w:val="top"/>
          </w:tcPr>
          <w:p>
            <w:pPr>
              <w:spacing w:line="240" w:lineRule="auto"/>
            </w:pPr>
            <w:r>
              <w:rPr>
                <w:rFonts w:ascii="Arial" w:hAnsi="Arial"/>
                <w:b/>
                <w:color w:val="FFFFFF"/>
                <w:sz w:val="17"/>
              </w:rPr>
              <w:t>Clasă</w:t>
            </w:r>
          </w:p>
        </w:tc>
        <w:tc>
          <w:tcPr>
            <w:tcW w:type="dxa" w:w="4195"/>
            <w:shd w:fill="17324D"/>
            <w:tcMar>
              <w:top w:w="85" w:type="dxa"/>
              <w:start w:w="90" w:type="dxa"/>
              <w:bottom w:w="85" w:type="dxa"/>
              <w:end w:w="90" w:type="dxa"/>
            </w:tcMar>
            <w:vAlign w:val="top"/>
          </w:tcPr>
          <w:p>
            <w:pPr>
              <w:spacing w:line="240" w:lineRule="auto"/>
            </w:pPr>
            <w:r>
              <w:rPr>
                <w:rFonts w:ascii="Arial" w:hAnsi="Arial"/>
                <w:b/>
                <w:color w:val="FFFFFF"/>
                <w:sz w:val="17"/>
              </w:rPr>
              <w:t>Exemple</w:t>
            </w:r>
          </w:p>
        </w:tc>
        <w:tc>
          <w:tcPr>
            <w:tcW w:type="dxa" w:w="3515"/>
            <w:shd w:fill="17324D"/>
            <w:tcMar>
              <w:top w:w="85" w:type="dxa"/>
              <w:start w:w="90" w:type="dxa"/>
              <w:bottom w:w="85" w:type="dxa"/>
              <w:end w:w="90" w:type="dxa"/>
            </w:tcMar>
            <w:vAlign w:val="top"/>
          </w:tcPr>
          <w:p>
            <w:pPr>
              <w:spacing w:line="240" w:lineRule="auto"/>
            </w:pPr>
            <w:r>
              <w:rPr>
                <w:rFonts w:ascii="Arial" w:hAnsi="Arial"/>
                <w:b/>
                <w:color w:val="FFFFFF"/>
                <w:sz w:val="17"/>
              </w:rPr>
              <w:t>Răspuns</w:t>
            </w:r>
          </w:p>
        </w:tc>
      </w:tr>
      <w:tr>
        <w:tc>
          <w:tcPr>
            <w:tcW w:type="dxa" w:w="1701"/>
            <w:tcMar>
              <w:top w:w="70" w:type="dxa"/>
              <w:start w:w="75" w:type="dxa"/>
              <w:bottom w:w="70" w:type="dxa"/>
              <w:end w:w="75" w:type="dxa"/>
            </w:tcMar>
            <w:vAlign w:val="top"/>
          </w:tcPr>
          <w:p>
            <w:pPr>
              <w:spacing w:after="0" w:line="240" w:lineRule="auto"/>
            </w:pPr>
            <w:r>
              <w:rPr>
                <w:rFonts w:ascii="Arial" w:hAnsi="Arial"/>
                <w:b/>
                <w:sz w:val="17"/>
              </w:rPr>
              <w:t>Urgență imediată</w:t>
            </w:r>
          </w:p>
        </w:tc>
        <w:tc>
          <w:tcPr>
            <w:tcW w:type="dxa" w:w="4195"/>
            <w:tcMar>
              <w:top w:w="70" w:type="dxa"/>
              <w:start w:w="75" w:type="dxa"/>
              <w:bottom w:w="70" w:type="dxa"/>
              <w:end w:w="75" w:type="dxa"/>
            </w:tcMar>
            <w:vAlign w:val="top"/>
          </w:tcPr>
          <w:p>
            <w:pPr>
              <w:spacing w:after="0" w:line="240" w:lineRule="auto"/>
            </w:pPr>
            <w:r>
              <w:rPr>
                <w:rFonts w:ascii="Arial" w:hAnsi="Arial"/>
                <w:b w:val="0"/>
                <w:sz w:val="17"/>
              </w:rPr>
              <w:t>supradoză, dificultăți respiratorii, convulsii, delir, plan suicidar iminent, violență</w:t>
            </w:r>
          </w:p>
        </w:tc>
        <w:tc>
          <w:tcPr>
            <w:tcW w:type="dxa" w:w="3515"/>
            <w:tcMar>
              <w:top w:w="70" w:type="dxa"/>
              <w:start w:w="75" w:type="dxa"/>
              <w:bottom w:w="70" w:type="dxa"/>
              <w:end w:w="75" w:type="dxa"/>
            </w:tcMar>
            <w:vAlign w:val="top"/>
          </w:tcPr>
          <w:p>
            <w:pPr>
              <w:spacing w:after="0" w:line="240" w:lineRule="auto"/>
            </w:pPr>
            <w:r>
              <w:rPr>
                <w:rFonts w:ascii="Arial" w:hAnsi="Arial"/>
                <w:b w:val="0"/>
                <w:sz w:val="17"/>
              </w:rPr>
              <w:t>112/urgență și protocol local; aplicația nu așteaptă coada clinică</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7"/>
              </w:rPr>
              <w:t>Evaluare în aceeași zi</w:t>
            </w:r>
          </w:p>
        </w:tc>
        <w:tc>
          <w:tcPr>
            <w:tcW w:type="dxa" w:w="4195"/>
            <w:tcMar>
              <w:top w:w="70" w:type="dxa"/>
              <w:start w:w="75" w:type="dxa"/>
              <w:bottom w:w="70" w:type="dxa"/>
              <w:end w:w="75" w:type="dxa"/>
            </w:tcMar>
            <w:vAlign w:val="top"/>
            <w:shd w:fill="F9FBFC"/>
          </w:tcPr>
          <w:p>
            <w:pPr>
              <w:spacing w:after="0" w:line="240" w:lineRule="auto"/>
            </w:pPr>
            <w:r>
              <w:rPr>
                <w:rFonts w:ascii="Arial" w:hAnsi="Arial"/>
                <w:b w:val="0"/>
                <w:sz w:val="17"/>
              </w:rPr>
              <w:t>sevraj în creștere, psihoză/manie emergentă, consum combinat riscant, autoagresiune fără iminență clară</w:t>
            </w:r>
          </w:p>
        </w:tc>
        <w:tc>
          <w:tcPr>
            <w:tcW w:type="dxa" w:w="3515"/>
            <w:tcMar>
              <w:top w:w="70" w:type="dxa"/>
              <w:start w:w="75" w:type="dxa"/>
              <w:bottom w:w="70" w:type="dxa"/>
              <w:end w:w="75" w:type="dxa"/>
            </w:tcMar>
            <w:vAlign w:val="top"/>
            <w:shd w:fill="F9FBFC"/>
          </w:tcPr>
          <w:p>
            <w:pPr>
              <w:spacing w:after="0" w:line="240" w:lineRule="auto"/>
            </w:pPr>
            <w:r>
              <w:rPr>
                <w:rFonts w:ascii="Arial" w:hAnsi="Arial"/>
                <w:b w:val="0"/>
                <w:sz w:val="17"/>
              </w:rPr>
              <w:t>contact clinician și evaluare rapidă</w:t>
            </w:r>
          </w:p>
        </w:tc>
      </w:tr>
      <w:tr>
        <w:tc>
          <w:tcPr>
            <w:tcW w:type="dxa" w:w="1701"/>
            <w:tcMar>
              <w:top w:w="70" w:type="dxa"/>
              <w:start w:w="75" w:type="dxa"/>
              <w:bottom w:w="70" w:type="dxa"/>
              <w:end w:w="75" w:type="dxa"/>
            </w:tcMar>
            <w:vAlign w:val="top"/>
          </w:tcPr>
          <w:p>
            <w:pPr>
              <w:spacing w:after="0" w:line="240" w:lineRule="auto"/>
            </w:pPr>
            <w:r>
              <w:rPr>
                <w:rFonts w:ascii="Arial" w:hAnsi="Arial"/>
                <w:b/>
                <w:sz w:val="17"/>
              </w:rPr>
              <w:t>Contact prompt</w:t>
            </w:r>
          </w:p>
        </w:tc>
        <w:tc>
          <w:tcPr>
            <w:tcW w:type="dxa" w:w="4195"/>
            <w:tcMar>
              <w:top w:w="70" w:type="dxa"/>
              <w:start w:w="75" w:type="dxa"/>
              <w:bottom w:w="70" w:type="dxa"/>
              <w:end w:w="75" w:type="dxa"/>
            </w:tcMar>
            <w:vAlign w:val="top"/>
          </w:tcPr>
          <w:p>
            <w:pPr>
              <w:spacing w:after="0" w:line="240" w:lineRule="auto"/>
            </w:pPr>
            <w:r>
              <w:rPr>
                <w:rFonts w:ascii="Arial" w:hAnsi="Arial"/>
                <w:b w:val="0"/>
                <w:sz w:val="17"/>
              </w:rPr>
              <w:t>alunecare, craving crescut, tratament întrerupt, absențe repetate</w:t>
            </w:r>
          </w:p>
        </w:tc>
        <w:tc>
          <w:tcPr>
            <w:tcW w:type="dxa" w:w="3515"/>
            <w:tcMar>
              <w:top w:w="70" w:type="dxa"/>
              <w:start w:w="75" w:type="dxa"/>
              <w:bottom w:w="70" w:type="dxa"/>
              <w:end w:w="75" w:type="dxa"/>
            </w:tcMar>
            <w:vAlign w:val="top"/>
          </w:tcPr>
          <w:p>
            <w:pPr>
              <w:spacing w:after="0" w:line="240" w:lineRule="auto"/>
            </w:pPr>
            <w:r>
              <w:rPr>
                <w:rFonts w:ascii="Arial" w:hAnsi="Arial"/>
                <w:b w:val="0"/>
                <w:sz w:val="17"/>
              </w:rPr>
              <w:t>contact în termenul stabilit și revizuirea planului</w:t>
            </w:r>
          </w:p>
        </w:tc>
      </w:tr>
      <w:tr>
        <w:tc>
          <w:tcPr>
            <w:tcW w:type="dxa" w:w="1701"/>
            <w:tcMar>
              <w:top w:w="70" w:type="dxa"/>
              <w:start w:w="75" w:type="dxa"/>
              <w:bottom w:w="70" w:type="dxa"/>
              <w:end w:w="75" w:type="dxa"/>
            </w:tcMar>
            <w:vAlign w:val="top"/>
            <w:shd w:fill="F9FBFC"/>
          </w:tcPr>
          <w:p>
            <w:pPr>
              <w:spacing w:after="0" w:line="240" w:lineRule="auto"/>
            </w:pPr>
            <w:r>
              <w:rPr>
                <w:rFonts w:ascii="Arial" w:hAnsi="Arial"/>
                <w:b/>
                <w:sz w:val="17"/>
              </w:rPr>
              <w:t>Rutinar</w:t>
            </w:r>
          </w:p>
        </w:tc>
        <w:tc>
          <w:tcPr>
            <w:tcW w:type="dxa" w:w="4195"/>
            <w:tcMar>
              <w:top w:w="70" w:type="dxa"/>
              <w:start w:w="75" w:type="dxa"/>
              <w:bottom w:w="70" w:type="dxa"/>
              <w:end w:w="75" w:type="dxa"/>
            </w:tcMar>
            <w:vAlign w:val="top"/>
            <w:shd w:fill="F9FBFC"/>
          </w:tcPr>
          <w:p>
            <w:pPr>
              <w:spacing w:after="0" w:line="240" w:lineRule="auto"/>
            </w:pPr>
            <w:r>
              <w:rPr>
                <w:rFonts w:ascii="Arial" w:hAnsi="Arial"/>
                <w:b w:val="0"/>
                <w:sz w:val="17"/>
              </w:rPr>
              <w:t>obiective nefinalizate, dificultăți moderate, întrebări</w:t>
            </w:r>
          </w:p>
        </w:tc>
        <w:tc>
          <w:tcPr>
            <w:tcW w:type="dxa" w:w="3515"/>
            <w:tcMar>
              <w:top w:w="70" w:type="dxa"/>
              <w:start w:w="75" w:type="dxa"/>
              <w:bottom w:w="70" w:type="dxa"/>
              <w:end w:w="75" w:type="dxa"/>
            </w:tcMar>
            <w:vAlign w:val="top"/>
            <w:shd w:fill="F9FBFC"/>
          </w:tcPr>
          <w:p>
            <w:pPr>
              <w:spacing w:after="0" w:line="240" w:lineRule="auto"/>
            </w:pPr>
            <w:r>
              <w:rPr>
                <w:rFonts w:ascii="Arial" w:hAnsi="Arial"/>
                <w:b w:val="0"/>
                <w:sz w:val="17"/>
              </w:rPr>
              <w:t>feedback la următorul contact sau prin canalul stabilit</w:t>
            </w:r>
          </w:p>
        </w:tc>
      </w:tr>
    </w:tbl>
    <w:p>
      <w:pPr>
        <w:spacing w:after="20"/>
      </w:pPr>
    </w:p>
    <w:p>
      <w:pPr>
        <w:pStyle w:val="Heading2"/>
        <w:keepNext/>
      </w:pPr>
      <w:r>
        <w:t>8.2. Ciclul unei alerte</w:t>
      </w:r>
    </w:p>
    <w:tbl>
      <w:tblPr>
        <w:tblW w:type="auto" w:w="0"/>
        <w:jc w:val="center"/>
        <w:tblLayout w:type="fixed"/>
        <w:tblLook w:firstColumn="1" w:firstRow="1" w:lastColumn="0" w:lastRow="0" w:noHBand="0" w:noVBand="1" w:val="04A0"/>
      </w:tblPr>
      <w:tblGrid>
        <w:gridCol w:w="1377"/>
        <w:gridCol w:w="1377"/>
        <w:gridCol w:w="1377"/>
        <w:gridCol w:w="1377"/>
        <w:gridCol w:w="1377"/>
        <w:gridCol w:w="1377"/>
        <w:gridCol w:w="1377"/>
      </w:tblGrid>
      <w:tr>
        <w:tc>
          <w:tcPr>
            <w:tcW w:type="dxa" w:w="1344"/>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1</w:t>
              <w:br/>
            </w:r>
            <w:r>
              <w:rPr>
                <w:rFonts w:ascii="Arial" w:hAnsi="Arial"/>
                <w:sz w:val="16"/>
              </w:rPr>
              <w:t>Detectare</w:t>
            </w:r>
          </w:p>
        </w:tc>
        <w:tc>
          <w:tcPr>
            <w:tcW w:type="dxa" w:w="1344"/>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2</w:t>
              <w:br/>
            </w:r>
            <w:r>
              <w:rPr>
                <w:rFonts w:ascii="Arial" w:hAnsi="Arial"/>
                <w:sz w:val="16"/>
              </w:rPr>
              <w:t>Confirmare</w:t>
            </w:r>
          </w:p>
        </w:tc>
        <w:tc>
          <w:tcPr>
            <w:tcW w:type="dxa" w:w="1344"/>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3</w:t>
              <w:br/>
            </w:r>
            <w:r>
              <w:rPr>
                <w:rFonts w:ascii="Arial" w:hAnsi="Arial"/>
                <w:sz w:val="16"/>
              </w:rPr>
              <w:t>Alocare</w:t>
            </w:r>
          </w:p>
        </w:tc>
        <w:tc>
          <w:tcPr>
            <w:tcW w:type="dxa" w:w="1344"/>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4</w:t>
              <w:br/>
            </w:r>
            <w:r>
              <w:rPr>
                <w:rFonts w:ascii="Arial" w:hAnsi="Arial"/>
                <w:sz w:val="16"/>
              </w:rPr>
              <w:t>Contact</w:t>
            </w:r>
          </w:p>
        </w:tc>
        <w:tc>
          <w:tcPr>
            <w:tcW w:type="dxa" w:w="1344"/>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5</w:t>
              <w:br/>
            </w:r>
            <w:r>
              <w:rPr>
                <w:rFonts w:ascii="Arial" w:hAnsi="Arial"/>
                <w:sz w:val="16"/>
              </w:rPr>
              <w:t>Decizie</w:t>
            </w:r>
          </w:p>
        </w:tc>
        <w:tc>
          <w:tcPr>
            <w:tcW w:type="dxa" w:w="1344"/>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6</w:t>
              <w:br/>
            </w:r>
            <w:r>
              <w:rPr>
                <w:rFonts w:ascii="Arial" w:hAnsi="Arial"/>
                <w:sz w:val="16"/>
              </w:rPr>
              <w:t>Documentare</w:t>
            </w:r>
          </w:p>
        </w:tc>
        <w:tc>
          <w:tcPr>
            <w:tcW w:type="dxa" w:w="1344"/>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7</w:t>
              <w:br/>
            </w:r>
            <w:r>
              <w:rPr>
                <w:rFonts w:ascii="Arial" w:hAnsi="Arial"/>
                <w:sz w:val="16"/>
              </w:rPr>
              <w:t>Închidere</w:t>
            </w:r>
          </w:p>
        </w:tc>
      </w:tr>
    </w:tbl>
    <w:p>
      <w:pPr>
        <w:spacing w:after="40"/>
      </w:pPr>
    </w:p>
    <w:p>
      <w:pPr>
        <w:pStyle w:val="ListBullet"/>
        <w:spacing w:after="52"/>
      </w:pPr>
      <w:r>
        <w:t>alerta are sursă, severitate, oră, responsabil și termen;</w:t>
      </w:r>
    </w:p>
    <w:p>
      <w:pPr>
        <w:pStyle w:val="ListBullet"/>
        <w:spacing w:after="52"/>
      </w:pPr>
      <w:r>
        <w:t>sistemul nu afirmă că pacientul este în siguranță;</w:t>
      </w:r>
    </w:p>
    <w:p>
      <w:pPr>
        <w:pStyle w:val="ListBullet"/>
        <w:spacing w:after="52"/>
      </w:pPr>
      <w:r>
        <w:t>lipsa răspunsului nu este echivalentă cu lipsa riscului;</w:t>
      </w:r>
    </w:p>
    <w:p>
      <w:pPr>
        <w:pStyle w:val="ListBullet"/>
        <w:spacing w:after="52"/>
      </w:pPr>
      <w:r>
        <w:t>închiderea include rezultatul și planul ulterior;</w:t>
      </w:r>
    </w:p>
    <w:p>
      <w:pPr>
        <w:pStyle w:val="ListBullet"/>
        <w:spacing w:after="52"/>
      </w:pPr>
      <w:r>
        <w:t>alertele false și omisiunile sunt analizate pentru calibrare.</w:t>
      </w:r>
    </w:p>
    <w:p>
      <w:pPr>
        <w:pStyle w:val="Heading2"/>
        <w:keepNext/>
      </w:pPr>
      <w:r>
        <w:t>8.3. Planul de siguranță</w:t>
      </w:r>
    </w:p>
    <w:p>
      <w:pPr>
        <w:pStyle w:val="ListBullet"/>
        <w:spacing w:after="52"/>
      </w:pPr>
      <w:r>
        <w:t>semne personale de avertizare;</w:t>
      </w:r>
    </w:p>
    <w:p>
      <w:pPr>
        <w:pStyle w:val="ListBullet"/>
        <w:spacing w:after="52"/>
      </w:pPr>
      <w:r>
        <w:t>strategii interne care nu necesită contact;</w:t>
      </w:r>
    </w:p>
    <w:p>
      <w:pPr>
        <w:pStyle w:val="ListBullet"/>
        <w:spacing w:after="52"/>
      </w:pPr>
      <w:r>
        <w:t>persoane și locuri care oferă distragere/sprijin;</w:t>
      </w:r>
    </w:p>
    <w:p>
      <w:pPr>
        <w:pStyle w:val="ListBullet"/>
        <w:spacing w:after="52"/>
      </w:pPr>
      <w:r>
        <w:t>persoane cărora li se cere ajutor direct;</w:t>
      </w:r>
    </w:p>
    <w:p>
      <w:pPr>
        <w:pStyle w:val="ListBullet"/>
        <w:spacing w:after="52"/>
      </w:pPr>
      <w:r>
        <w:t>profesioniști și servicii;</w:t>
      </w:r>
    </w:p>
    <w:p>
      <w:pPr>
        <w:pStyle w:val="ListBullet"/>
        <w:spacing w:after="52"/>
      </w:pPr>
      <w:r>
        <w:t>reducerea accesului la substanțe, medicamente și alte mijloace periculoase;</w:t>
      </w:r>
    </w:p>
    <w:p>
      <w:pPr>
        <w:pStyle w:val="ListBullet"/>
        <w:spacing w:after="52"/>
      </w:pPr>
      <w:r>
        <w:t>instrucțiuni clare pentru urgență.</w:t>
      </w:r>
    </w:p>
    <w:p>
      <w:pPr>
        <w:pStyle w:val="Heading2"/>
        <w:keepNext/>
      </w:pPr>
      <w:r>
        <w:t>8.4. Situații cu protocoale separate</w:t>
      </w:r>
    </w:p>
    <w:p>
      <w:pPr>
        <w:pStyle w:val="ListBullet"/>
        <w:spacing w:after="52"/>
      </w:pPr>
      <w:r>
        <w:t>sevraj alcool/sedative;</w:t>
      </w:r>
    </w:p>
    <w:p>
      <w:pPr>
        <w:pStyle w:val="ListBullet"/>
        <w:spacing w:after="52"/>
      </w:pPr>
      <w:r>
        <w:t>opioide și supradoză/naloxonă;</w:t>
      </w:r>
    </w:p>
    <w:p>
      <w:pPr>
        <w:pStyle w:val="ListBullet"/>
        <w:spacing w:after="52"/>
      </w:pPr>
      <w:r>
        <w:t>sarcină și postpartum;</w:t>
      </w:r>
    </w:p>
    <w:p>
      <w:pPr>
        <w:pStyle w:val="ListBullet"/>
        <w:spacing w:after="52"/>
      </w:pPr>
      <w:r>
        <w:t>adolescenți;</w:t>
      </w:r>
    </w:p>
    <w:p>
      <w:pPr>
        <w:pStyle w:val="ListBullet"/>
        <w:spacing w:after="52"/>
      </w:pPr>
      <w:r>
        <w:t>psihoză/manie;</w:t>
      </w:r>
    </w:p>
    <w:p>
      <w:pPr>
        <w:pStyle w:val="ListBullet"/>
        <w:spacing w:after="52"/>
      </w:pPr>
      <w:r>
        <w:t>violență domestică și protecția copilului;</w:t>
      </w:r>
    </w:p>
    <w:p>
      <w:pPr>
        <w:pStyle w:val="ListBullet"/>
        <w:spacing w:after="52"/>
      </w:pPr>
      <w:r>
        <w:t>dizabilitate cognitivă și capacitate.</w:t>
      </w:r>
    </w:p>
    <w:p>
      <w:pPr>
        <w:pStyle w:val="Heading1"/>
        <w:keepNext/>
      </w:pPr>
      <w:r>
        <w:t>9. Alunecare, recădere și revenire</w:t>
      </w:r>
    </w:p>
    <w:p>
      <w:pPr>
        <w:pStyle w:val="Heading2"/>
        <w:keepNext/>
      </w:pPr>
      <w:r>
        <w:t>9.1. Terminologie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984"/>
            <w:shd w:fill="17324D"/>
            <w:tcMar>
              <w:top w:w="85" w:type="dxa"/>
              <w:start w:w="90" w:type="dxa"/>
              <w:bottom w:w="85" w:type="dxa"/>
              <w:end w:w="90" w:type="dxa"/>
            </w:tcMar>
            <w:vAlign w:val="top"/>
          </w:tcPr>
          <w:p>
            <w:pPr>
              <w:spacing w:line="240" w:lineRule="auto"/>
            </w:pPr>
            <w:r>
              <w:rPr>
                <w:rFonts w:ascii="Arial" w:hAnsi="Arial"/>
                <w:b/>
                <w:color w:val="FFFFFF"/>
                <w:sz w:val="17"/>
              </w:rPr>
              <w:t>Termen</w:t>
            </w:r>
          </w:p>
        </w:tc>
        <w:tc>
          <w:tcPr>
            <w:tcW w:type="dxa" w:w="7427"/>
            <w:shd w:fill="17324D"/>
            <w:tcMar>
              <w:top w:w="85" w:type="dxa"/>
              <w:start w:w="90" w:type="dxa"/>
              <w:bottom w:w="85" w:type="dxa"/>
              <w:end w:w="90" w:type="dxa"/>
            </w:tcMar>
            <w:vAlign w:val="top"/>
          </w:tcPr>
          <w:p>
            <w:pPr>
              <w:spacing w:line="240" w:lineRule="auto"/>
            </w:pPr>
            <w:r>
              <w:rPr>
                <w:rFonts w:ascii="Arial" w:hAnsi="Arial"/>
                <w:b/>
                <w:color w:val="FFFFFF"/>
                <w:sz w:val="17"/>
              </w:rPr>
              <w:t>Definiție de lucru</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Poftă/craving</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impuls sau dorință, fără consum</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Situație de risc</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context cu probabilitate crescută de consum</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Alunecare</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episod limitat de consum după o perioadă de schimbare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Recădere</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revenire la un pattern persistent sau clinic semnificativ</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Revenire rapidă</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reluarea contactului și a planului după episod</w:t>
            </w:r>
          </w:p>
        </w:tc>
      </w:tr>
    </w:tbl>
    <w:p>
      <w:pPr>
        <w:spacing w:after="20"/>
      </w:pPr>
    </w:p>
    <w:p>
      <w:pPr>
        <w:pStyle w:val="Heading2"/>
        <w:keepNext/>
      </w:pPr>
      <w:r>
        <w:t>9.2. Procedura clinică</w:t>
      </w:r>
    </w:p>
    <w:tbl>
      <w:tblPr>
        <w:tblW w:type="auto" w:w="0"/>
        <w:jc w:val="center"/>
        <w:tblLayout w:type="fixed"/>
        <w:tblLook w:firstColumn="1" w:firstRow="1" w:lastColumn="0" w:lastRow="0" w:noHBand="0" w:noVBand="1" w:val="04A0"/>
      </w:tblPr>
      <w:tblGrid>
        <w:gridCol w:w="1606"/>
        <w:gridCol w:w="1606"/>
        <w:gridCol w:w="1606"/>
        <w:gridCol w:w="1606"/>
        <w:gridCol w:w="1606"/>
        <w:gridCol w:w="1606"/>
      </w:tblGrid>
      <w:tr>
        <w:tc>
          <w:tcPr>
            <w:tcW w:type="dxa" w:w="1569"/>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1</w:t>
              <w:br/>
            </w:r>
            <w:r>
              <w:rPr>
                <w:rFonts w:ascii="Arial" w:hAnsi="Arial"/>
                <w:sz w:val="16"/>
              </w:rPr>
              <w:t>Siguranță</w:t>
            </w:r>
          </w:p>
        </w:tc>
        <w:tc>
          <w:tcPr>
            <w:tcW w:type="dxa" w:w="1569"/>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2</w:t>
              <w:br/>
            </w:r>
            <w:r>
              <w:rPr>
                <w:rFonts w:ascii="Arial" w:hAnsi="Arial"/>
                <w:sz w:val="16"/>
              </w:rPr>
              <w:t>Clarificare</w:t>
            </w:r>
          </w:p>
        </w:tc>
        <w:tc>
          <w:tcPr>
            <w:tcW w:type="dxa" w:w="1569"/>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3</w:t>
              <w:br/>
            </w:r>
            <w:r>
              <w:rPr>
                <w:rFonts w:ascii="Arial" w:hAnsi="Arial"/>
                <w:sz w:val="16"/>
              </w:rPr>
              <w:t>Nivel de îngrijire</w:t>
            </w:r>
          </w:p>
        </w:tc>
        <w:tc>
          <w:tcPr>
            <w:tcW w:type="dxa" w:w="1569"/>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4</w:t>
              <w:br/>
            </w:r>
            <w:r>
              <w:rPr>
                <w:rFonts w:ascii="Arial" w:hAnsi="Arial"/>
                <w:sz w:val="16"/>
              </w:rPr>
              <w:t>Analiză funcțională</w:t>
            </w:r>
          </w:p>
        </w:tc>
        <w:tc>
          <w:tcPr>
            <w:tcW w:type="dxa" w:w="1569"/>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5</w:t>
              <w:br/>
            </w:r>
            <w:r>
              <w:rPr>
                <w:rFonts w:ascii="Arial" w:hAnsi="Arial"/>
                <w:sz w:val="16"/>
              </w:rPr>
              <w:t>Revizuire</w:t>
            </w:r>
          </w:p>
        </w:tc>
        <w:tc>
          <w:tcPr>
            <w:tcW w:type="dxa" w:w="1569"/>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6</w:t>
              <w:br/>
            </w:r>
            <w:r>
              <w:rPr>
                <w:rFonts w:ascii="Arial" w:hAnsi="Arial"/>
                <w:sz w:val="16"/>
              </w:rPr>
              <w:t>Follow-up</w:t>
            </w:r>
          </w:p>
        </w:tc>
      </w:tr>
    </w:tbl>
    <w:p>
      <w:pPr>
        <w:spacing w:after="40"/>
      </w:pPr>
    </w:p>
    <w:p>
      <w:pPr>
        <w:pStyle w:val="ListBullet"/>
        <w:spacing w:after="52"/>
      </w:pPr>
      <w:r>
        <w:rPr>
          <w:b/>
        </w:rPr>
        <w:t xml:space="preserve">Siguranță: </w:t>
      </w:r>
      <w:r>
        <w:t>substanță, cantitate, cale, combinații, timp, supradoză, sevraj, suicid și violență.</w:t>
      </w:r>
    </w:p>
    <w:p>
      <w:pPr>
        <w:pStyle w:val="ListBullet"/>
        <w:spacing w:after="52"/>
      </w:pPr>
      <w:r>
        <w:rPr>
          <w:b/>
        </w:rPr>
        <w:t xml:space="preserve">Clarificare: </w:t>
      </w:r>
      <w:r>
        <w:t>fapte fără moralizare; evitarea interogatoriului sau a disputei.</w:t>
      </w:r>
    </w:p>
    <w:p>
      <w:pPr>
        <w:pStyle w:val="ListBullet"/>
        <w:spacing w:after="52"/>
      </w:pPr>
      <w:r>
        <w:rPr>
          <w:b/>
        </w:rPr>
        <w:t xml:space="preserve">Analiză: </w:t>
      </w:r>
      <w:r>
        <w:t>declanșatori, gânduri, emoții, acces, consecințe și strategii absente.</w:t>
      </w:r>
    </w:p>
    <w:p>
      <w:pPr>
        <w:pStyle w:val="ListBullet"/>
        <w:spacing w:after="52"/>
      </w:pPr>
      <w:r>
        <w:rPr>
          <w:b/>
        </w:rPr>
        <w:t xml:space="preserve">Revizuire: </w:t>
      </w:r>
      <w:r>
        <w:t>tratament, nivel de îngrijire, cărări, contacte, grup, mediul de viață.</w:t>
      </w:r>
    </w:p>
    <w:p>
      <w:pPr>
        <w:pStyle w:val="ListBullet"/>
        <w:spacing w:after="52"/>
      </w:pPr>
      <w:r>
        <w:rPr>
          <w:b/>
        </w:rPr>
        <w:t xml:space="preserve">Follow-up: </w:t>
      </w:r>
      <w:r>
        <w:t>contact mai rapid și criterii explicite de escaladare.</w:t>
      </w:r>
    </w:p>
    <w:tbl>
      <w:tblPr>
        <w:tblW w:type="auto" w:w="0"/>
        <w:jc w:val="center"/>
        <w:tblLayout w:type="fixed"/>
        <w:tblLook w:firstColumn="1" w:firstRow="1" w:lastColumn="0" w:lastRow="0" w:noHBand="0" w:noVBand="1" w:val="04A0"/>
      </w:tblPr>
      <w:tblGrid>
        <w:gridCol w:w="9638"/>
      </w:tblGrid>
      <w:tr>
        <w:tc>
          <w:tcPr>
            <w:tcW w:type="dxa" w:w="9411"/>
            <w:shd w:fill="FBF5E7"/>
            <w:tcBorders>
              <w:top w:val="single" w:sz="8" w:color="C79838"/>
              <w:left w:val="single" w:sz="8" w:color="C79838"/>
              <w:bottom w:val="single" w:sz="8" w:color="C79838"/>
              <w:right w:val="single" w:sz="8" w:color="C79838"/>
            </w:tcBorders>
            <w:tcMar>
              <w:top w:w="120" w:type="dxa"/>
              <w:start w:w="150" w:type="dxa"/>
              <w:bottom w:w="120" w:type="dxa"/>
              <w:end w:w="150" w:type="dxa"/>
            </w:tcMar>
            <w:vAlign w:val="top"/>
          </w:tcPr>
          <w:p>
            <w:pPr>
              <w:spacing w:line="240" w:lineRule="auto"/>
            </w:pPr>
            <w:r>
              <w:rPr>
                <w:rFonts w:ascii="Arial" w:hAnsi="Arial"/>
                <w:b/>
                <w:color w:val="C79838"/>
                <w:sz w:val="21"/>
              </w:rPr>
              <w:t>Principiu</w:t>
            </w:r>
          </w:p>
          <w:p>
            <w:pPr>
              <w:spacing w:after="0" w:line="240" w:lineRule="auto"/>
            </w:pPr>
            <w:r>
              <w:rPr>
                <w:rFonts w:ascii="Arial" w:hAnsi="Arial"/>
              </w:rPr>
              <w:t>Alunecarea nu șterge progresul, dar nici nu trebuie banalizată. Răspunsul combină compasiunea cu reevaluarea realistă a riscului.</w:t>
            </w:r>
          </w:p>
        </w:tc>
      </w:tr>
    </w:tbl>
    <w:p>
      <w:pPr>
        <w:spacing w:after="20"/>
      </w:pPr>
    </w:p>
    <w:p>
      <w:pPr>
        <w:pStyle w:val="Heading2"/>
        <w:keepNext/>
      </w:pPr>
      <w:r>
        <w:t>9.3. Absența și dezangajarea</w:t>
      </w:r>
    </w:p>
    <w:p>
      <w:pPr>
        <w:spacing w:after="70"/>
      </w:pPr>
      <w:r>
        <w:rPr>
          <w:i w:val="0"/>
        </w:rPr>
        <w:t>Absența poate semnala ambivalență, dificultăți practice, deteriorare, consum sau nepotrivirea programului. Contactul trebuie să fie proporțional, necoercitiv și conform consimțământului. Nu se transmit informații sensibile prin canale nesigure și nu se presupune automat o criză.</w:t>
      </w:r>
    </w:p>
    <w:p>
      <w:pPr>
        <w:pStyle w:val="Heading1"/>
        <w:keepNext/>
      </w:pPr>
      <w:r>
        <w:t>10. Grupuri, familie și peer support</w:t>
      </w:r>
    </w:p>
    <w:p>
      <w:pPr>
        <w:pStyle w:val="Heading2"/>
        <w:keepNext/>
      </w:pPr>
      <w:r>
        <w:t>10.1. Tipuri de grup</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85" w:type="dxa"/>
              <w:start w:w="90" w:type="dxa"/>
              <w:bottom w:w="85" w:type="dxa"/>
              <w:end w:w="90" w:type="dxa"/>
            </w:tcMar>
            <w:vAlign w:val="top"/>
          </w:tcPr>
          <w:p>
            <w:pPr>
              <w:spacing w:line="240" w:lineRule="auto"/>
            </w:pPr>
            <w:r>
              <w:rPr>
                <w:rFonts w:ascii="Arial" w:hAnsi="Arial"/>
                <w:b/>
                <w:color w:val="FFFFFF"/>
                <w:sz w:val="17"/>
              </w:rPr>
              <w:t>Tip</w:t>
            </w:r>
          </w:p>
        </w:tc>
        <w:tc>
          <w:tcPr>
            <w:tcW w:type="dxa" w:w="7143"/>
            <w:shd w:fill="17324D"/>
            <w:tcMar>
              <w:top w:w="85" w:type="dxa"/>
              <w:start w:w="90" w:type="dxa"/>
              <w:bottom w:w="85" w:type="dxa"/>
              <w:end w:w="90" w:type="dxa"/>
            </w:tcMar>
            <w:vAlign w:val="top"/>
          </w:tcPr>
          <w:p>
            <w:pPr>
              <w:spacing w:line="240" w:lineRule="auto"/>
            </w:pPr>
            <w:r>
              <w:rPr>
                <w:rFonts w:ascii="Arial" w:hAnsi="Arial"/>
                <w:b/>
                <w:color w:val="FFFFFF"/>
                <w:sz w:val="17"/>
              </w:rPr>
              <w:t>Scop</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Psihoeducațional</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înțelegerea adicției, tratamentului și prevenirii recăderii</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Abilități</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reglare emoțională, coping, comunicare, somn</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Suport</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apartenență și experiență comună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Terapeutic</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intervenție clinică structurată, cu facilitator calificat</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Peer-led supravegheat</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sprijin prin experiență trăită, cu limite și escaladare</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Familie/aparținători</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educație, limite, protecție și sprijin propriu</w:t>
            </w:r>
          </w:p>
        </w:tc>
      </w:tr>
    </w:tbl>
    <w:p>
      <w:pPr>
        <w:spacing w:after="20"/>
      </w:pPr>
    </w:p>
    <w:p>
      <w:pPr>
        <w:pStyle w:val="Heading2"/>
        <w:keepNext/>
      </w:pPr>
      <w:r>
        <w:t>10.2. Placement într-un grup</w:t>
      </w:r>
    </w:p>
    <w:p>
      <w:pPr>
        <w:pStyle w:val="ListBullet"/>
        <w:spacing w:after="52"/>
      </w:pPr>
      <w:r>
        <w:t>obiective și compatibilitate cu tema;</w:t>
      </w:r>
    </w:p>
    <w:p>
      <w:pPr>
        <w:pStyle w:val="ListBullet"/>
        <w:spacing w:after="52"/>
      </w:pPr>
      <w:r>
        <w:t>stabilitate și capacitate de participare;</w:t>
      </w:r>
    </w:p>
    <w:p>
      <w:pPr>
        <w:pStyle w:val="ListBullet"/>
        <w:spacing w:after="52"/>
      </w:pPr>
      <w:r>
        <w:t>riscuri pentru sine sau grup;</w:t>
      </w:r>
    </w:p>
    <w:p>
      <w:pPr>
        <w:pStyle w:val="ListBullet"/>
        <w:spacing w:after="52"/>
      </w:pPr>
      <w:r>
        <w:t>limbă, cogniție și acces digital;</w:t>
      </w:r>
    </w:p>
    <w:p>
      <w:pPr>
        <w:pStyle w:val="ListBullet"/>
        <w:spacing w:after="52"/>
      </w:pPr>
      <w:r>
        <w:t>conflicte de interese sau relații preexistente;</w:t>
      </w:r>
    </w:p>
    <w:p>
      <w:pPr>
        <w:pStyle w:val="ListBullet"/>
        <w:spacing w:after="52"/>
      </w:pPr>
      <w:r>
        <w:t>preferința pacientului și alternativă individuală.</w:t>
      </w:r>
    </w:p>
    <w:p>
      <w:pPr>
        <w:pStyle w:val="Heading2"/>
        <w:keepNext/>
      </w:pPr>
      <w:r>
        <w:t>10.3. Confidențialitate și documentare</w:t>
      </w:r>
    </w:p>
    <w:p>
      <w:pPr>
        <w:pStyle w:val="ListBullet"/>
        <w:spacing w:after="52"/>
      </w:pPr>
      <w:r>
        <w:t>consimțământ distinct pentru grup;</w:t>
      </w:r>
    </w:p>
    <w:p>
      <w:pPr>
        <w:pStyle w:val="ListBullet"/>
        <w:spacing w:after="52"/>
      </w:pPr>
      <w:r>
        <w:t>explicarea limitelor confidențialității dintre membri;</w:t>
      </w:r>
    </w:p>
    <w:p>
      <w:pPr>
        <w:pStyle w:val="ListBullet"/>
        <w:spacing w:after="52"/>
      </w:pPr>
      <w:r>
        <w:t>regulament privind înregistrarea, capturile de ecran și contactul extern;</w:t>
      </w:r>
    </w:p>
    <w:p>
      <w:pPr>
        <w:pStyle w:val="ListBullet"/>
        <w:spacing w:after="52"/>
      </w:pPr>
      <w:r>
        <w:t>notă de sesiune generală separată de nota individuală;</w:t>
      </w:r>
    </w:p>
    <w:p>
      <w:pPr>
        <w:pStyle w:val="ListBullet"/>
        <w:spacing w:after="52"/>
      </w:pPr>
      <w:r>
        <w:t>incidentele și riscul se documentează în dosarul relevant, nu în spațiul comun.</w:t>
      </w:r>
    </w:p>
    <w:p>
      <w:pPr>
        <w:pStyle w:val="Heading2"/>
        <w:keepNext/>
      </w:pPr>
      <w:r>
        <w:t>10.4. Familia</w:t>
      </w:r>
    </w:p>
    <w:p>
      <w:pPr>
        <w:spacing w:after="70"/>
      </w:pPr>
      <w:r>
        <w:rPr>
          <w:i w:val="0"/>
        </w:rPr>
        <w:t>Implicarea familiei este negociată cu pacientul și adaptată riscului. Familia poate primi psihoeducație, planuri aprobate, semne de avertizare și îndrumare privind limitele. Nu primește automat note clinice sau conversații private.</w:t>
      </w:r>
    </w:p>
    <w:p>
      <w:pPr>
        <w:pStyle w:val="Heading2"/>
        <w:keepNext/>
      </w:pPr>
      <w:r>
        <w:t>10.5. Peer support</w:t>
      </w:r>
    </w:p>
    <w:p>
      <w:pPr>
        <w:pStyle w:val="ListBullet"/>
        <w:spacing w:after="52"/>
      </w:pPr>
      <w:r>
        <w:t>rol clar și fișă de responsabilități;</w:t>
      </w:r>
    </w:p>
    <w:p>
      <w:pPr>
        <w:pStyle w:val="ListBullet"/>
        <w:spacing w:after="52"/>
      </w:pPr>
      <w:r>
        <w:t>formare și supervizare;</w:t>
      </w:r>
    </w:p>
    <w:p>
      <w:pPr>
        <w:pStyle w:val="ListBullet"/>
        <w:spacing w:after="52"/>
      </w:pPr>
      <w:r>
        <w:t>fără diagnostic, tratament sau consiliere în afara competenței;</w:t>
      </w:r>
    </w:p>
    <w:p>
      <w:pPr>
        <w:pStyle w:val="ListBullet"/>
        <w:spacing w:after="52"/>
      </w:pPr>
      <w:r>
        <w:t>protocol pentru limite, relații duale și cadouri;</w:t>
      </w:r>
    </w:p>
    <w:p>
      <w:pPr>
        <w:pStyle w:val="ListBullet"/>
        <w:spacing w:after="52"/>
      </w:pPr>
      <w:r>
        <w:t>escaladarea riscului către profesionist.</w:t>
      </w:r>
    </w:p>
    <w:p>
      <w:pPr>
        <w:pStyle w:val="Heading1"/>
        <w:keepNext/>
      </w:pPr>
      <w:r>
        <w:t>11. Companionul digital și chatbotul</w:t>
      </w:r>
    </w:p>
    <w:p>
      <w:pPr>
        <w:pStyle w:val="Heading2"/>
        <w:keepNext/>
      </w:pPr>
      <w:r>
        <w:t>11.1. Rol clinic</w:t>
      </w:r>
    </w:p>
    <w:p>
      <w:pPr>
        <w:spacing w:after="70"/>
      </w:pPr>
      <w:r>
        <w:rPr>
          <w:i w:val="0"/>
        </w:rPr>
        <w:t>Companionul susține planul între contacte. Chatbotul este un ghid non-terapeutic care poate face check-inuri, explica exerciții aprobate, reaminti obiective și orienta către oameni sau servicii. Nu este o relație terapeutică autonomă.</w:t>
      </w:r>
    </w:p>
    <w:p>
      <w:pPr>
        <w:pStyle w:val="Heading2"/>
        <w:keepNext/>
      </w:pPr>
      <w:r>
        <w:t>11.2. Lansare clinică graduală</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85" w:type="dxa"/>
              <w:start w:w="90" w:type="dxa"/>
              <w:bottom w:w="85" w:type="dxa"/>
              <w:end w:w="90" w:type="dxa"/>
            </w:tcMar>
            <w:vAlign w:val="top"/>
          </w:tcPr>
          <w:p>
            <w:pPr>
              <w:spacing w:line="240" w:lineRule="auto"/>
            </w:pPr>
            <w:r>
              <w:rPr>
                <w:rFonts w:ascii="Arial" w:hAnsi="Arial"/>
                <w:b/>
                <w:color w:val="FFFFFF"/>
                <w:sz w:val="17"/>
              </w:rPr>
              <w:t>Etapă</w:t>
            </w:r>
          </w:p>
        </w:tc>
        <w:tc>
          <w:tcPr>
            <w:tcW w:type="dxa" w:w="7143"/>
            <w:shd w:fill="17324D"/>
            <w:tcMar>
              <w:top w:w="85" w:type="dxa"/>
              <w:start w:w="90" w:type="dxa"/>
              <w:bottom w:w="85" w:type="dxa"/>
              <w:end w:w="90" w:type="dxa"/>
            </w:tcMar>
            <w:vAlign w:val="top"/>
          </w:tcPr>
          <w:p>
            <w:pPr>
              <w:spacing w:line="240" w:lineRule="auto"/>
            </w:pPr>
            <w:r>
              <w:rPr>
                <w:rFonts w:ascii="Arial" w:hAnsi="Arial"/>
                <w:b/>
                <w:color w:val="FFFFFF"/>
                <w:sz w:val="17"/>
              </w:rPr>
              <w:t>Funcții</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1. Determinist</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meniuri, reminder, materiale, check-in și mesaje standard</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2. Răspuns din bibliotecă</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căutare controlată în conținut aprobat</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3. Generativ limitat</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reformulare și rezumat cu filtre și audit</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4. Extindere</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numai după validarea siguranței și a beneficiului</w:t>
            </w:r>
          </w:p>
        </w:tc>
      </w:tr>
    </w:tbl>
    <w:p>
      <w:pPr>
        <w:spacing w:after="20"/>
      </w:pPr>
    </w:p>
    <w:p>
      <w:pPr>
        <w:pStyle w:val="Heading2"/>
        <w:keepNext/>
      </w:pPr>
      <w:r>
        <w:t>11.3. Funcții permise</w:t>
      </w:r>
    </w:p>
    <w:p>
      <w:pPr>
        <w:pStyle w:val="ListBullet"/>
        <w:spacing w:after="52"/>
      </w:pPr>
      <w:r>
        <w:t>check-in scurt;</w:t>
      </w:r>
    </w:p>
    <w:p>
      <w:pPr>
        <w:pStyle w:val="ListBullet"/>
        <w:spacing w:after="52"/>
      </w:pPr>
      <w:r>
        <w:t>reamintirea obiectivelor și programărilor;</w:t>
      </w:r>
    </w:p>
    <w:p>
      <w:pPr>
        <w:pStyle w:val="ListBullet"/>
        <w:spacing w:after="52"/>
      </w:pPr>
      <w:r>
        <w:t>afișarea planului de siguranță;</w:t>
      </w:r>
    </w:p>
    <w:p>
      <w:pPr>
        <w:pStyle w:val="ListBullet"/>
        <w:spacing w:after="52"/>
      </w:pPr>
      <w:r>
        <w:t>materiale aprobate;</w:t>
      </w:r>
    </w:p>
    <w:p>
      <w:pPr>
        <w:pStyle w:val="ListBullet"/>
        <w:spacing w:after="52"/>
      </w:pPr>
      <w:r>
        <w:t>colectarea întrebărilor;</w:t>
      </w:r>
    </w:p>
    <w:p>
      <w:pPr>
        <w:pStyle w:val="ListBullet"/>
        <w:spacing w:after="52"/>
      </w:pPr>
      <w:r>
        <w:t>rezumat pentru consultație;</w:t>
      </w:r>
    </w:p>
    <w:p>
      <w:pPr>
        <w:pStyle w:val="ListBullet"/>
        <w:spacing w:after="52"/>
      </w:pPr>
      <w:r>
        <w:t>îndemn la contact uman.</w:t>
      </w:r>
    </w:p>
    <w:p>
      <w:pPr>
        <w:pStyle w:val="Heading2"/>
        <w:keepNext/>
      </w:pPr>
      <w:r>
        <w:t>11.4. Funcții interzise</w:t>
      </w:r>
    </w:p>
    <w:p>
      <w:pPr>
        <w:pStyle w:val="ListBullet"/>
        <w:spacing w:after="52"/>
      </w:pPr>
      <w:r>
        <w:t>diagnostic;</w:t>
      </w:r>
    </w:p>
    <w:p>
      <w:pPr>
        <w:pStyle w:val="ListBullet"/>
        <w:spacing w:after="52"/>
      </w:pPr>
      <w:r>
        <w:t>modificarea tratamentului;</w:t>
      </w:r>
    </w:p>
    <w:p>
      <w:pPr>
        <w:pStyle w:val="ListBullet"/>
        <w:spacing w:after="52"/>
      </w:pPr>
      <w:r>
        <w:t>sfaturi de sevraj la domiciliu;</w:t>
      </w:r>
    </w:p>
    <w:p>
      <w:pPr>
        <w:pStyle w:val="ListBullet"/>
        <w:spacing w:after="52"/>
      </w:pPr>
      <w:r>
        <w:t>psihoterapie autonomă;</w:t>
      </w:r>
    </w:p>
    <w:p>
      <w:pPr>
        <w:pStyle w:val="ListBullet"/>
        <w:spacing w:after="52"/>
      </w:pPr>
      <w:r>
        <w:t>decizia finală asupra riscului;</w:t>
      </w:r>
    </w:p>
    <w:p>
      <w:pPr>
        <w:pStyle w:val="ListBullet"/>
        <w:spacing w:after="52"/>
      </w:pPr>
      <w:r>
        <w:t>promisiunea monitorizării continue;</w:t>
      </w:r>
    </w:p>
    <w:p>
      <w:pPr>
        <w:pStyle w:val="ListBullet"/>
        <w:spacing w:after="52"/>
      </w:pPr>
      <w:r>
        <w:t>mesaje care culpabilizează sau recompensează compulsiv.</w:t>
      </w:r>
    </w:p>
    <w:p>
      <w:pPr>
        <w:pStyle w:val="Heading2"/>
        <w:keepNext/>
      </w:pPr>
      <w:r>
        <w:t>11.5. Human-in-the-loop</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268"/>
            <w:shd w:fill="17324D"/>
            <w:tcMar>
              <w:top w:w="85" w:type="dxa"/>
              <w:start w:w="90" w:type="dxa"/>
              <w:bottom w:w="85" w:type="dxa"/>
              <w:end w:w="90" w:type="dxa"/>
            </w:tcMar>
            <w:vAlign w:val="top"/>
          </w:tcPr>
          <w:p>
            <w:pPr>
              <w:spacing w:line="240" w:lineRule="auto"/>
            </w:pPr>
            <w:r>
              <w:rPr>
                <w:rFonts w:ascii="Arial" w:hAnsi="Arial"/>
                <w:b/>
                <w:color w:val="FFFFFF"/>
                <w:sz w:val="17"/>
              </w:rPr>
              <w:t>Element</w:t>
            </w:r>
          </w:p>
        </w:tc>
        <w:tc>
          <w:tcPr>
            <w:tcW w:type="dxa" w:w="7143"/>
            <w:shd w:fill="17324D"/>
            <w:tcMar>
              <w:top w:w="85" w:type="dxa"/>
              <w:start w:w="90" w:type="dxa"/>
              <w:bottom w:w="85" w:type="dxa"/>
              <w:end w:w="90" w:type="dxa"/>
            </w:tcMar>
            <w:vAlign w:val="top"/>
          </w:tcPr>
          <w:p>
            <w:pPr>
              <w:spacing w:line="240" w:lineRule="auto"/>
            </w:pPr>
            <w:r>
              <w:rPr>
                <w:rFonts w:ascii="Arial" w:hAnsi="Arial"/>
                <w:b/>
                <w:color w:val="FFFFFF"/>
                <w:sz w:val="17"/>
              </w:rPr>
              <w:t>Cerință</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Coadă de revizuire</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responsabil și termen configurat</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Rezumat</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separă faptele declarate de interpretările generate</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Escaladare</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reguli predefinite și procedură locală</w:t>
            </w:r>
          </w:p>
        </w:tc>
      </w:tr>
      <w:tr>
        <w:tc>
          <w:tcPr>
            <w:tcW w:type="dxa" w:w="2268"/>
            <w:tcMar>
              <w:top w:w="70" w:type="dxa"/>
              <w:start w:w="75" w:type="dxa"/>
              <w:bottom w:w="70" w:type="dxa"/>
              <w:end w:w="75" w:type="dxa"/>
            </w:tcMar>
            <w:vAlign w:val="top"/>
            <w:shd w:fill="F9FBFC"/>
          </w:tcPr>
          <w:p>
            <w:pPr>
              <w:spacing w:after="0" w:line="240" w:lineRule="auto"/>
            </w:pPr>
            <w:r>
              <w:rPr>
                <w:rFonts w:ascii="Arial" w:hAnsi="Arial"/>
                <w:b/>
                <w:sz w:val="17"/>
              </w:rPr>
              <w:t>Audit</w:t>
            </w:r>
          </w:p>
        </w:tc>
        <w:tc>
          <w:tcPr>
            <w:tcW w:type="dxa" w:w="7143"/>
            <w:tcMar>
              <w:top w:w="70" w:type="dxa"/>
              <w:start w:w="75" w:type="dxa"/>
              <w:bottom w:w="70" w:type="dxa"/>
              <w:end w:w="75" w:type="dxa"/>
            </w:tcMar>
            <w:vAlign w:val="top"/>
            <w:shd w:fill="F9FBFC"/>
          </w:tcPr>
          <w:p>
            <w:pPr>
              <w:spacing w:after="0" w:line="240" w:lineRule="auto"/>
            </w:pPr>
            <w:r>
              <w:rPr>
                <w:rFonts w:ascii="Arial" w:hAnsi="Arial"/>
                <w:b w:val="0"/>
                <w:sz w:val="17"/>
              </w:rPr>
              <w:t>mesaj, răspuns, versiune, utilizator și acțiune ulterioară</w:t>
            </w:r>
          </w:p>
        </w:tc>
      </w:tr>
      <w:tr>
        <w:tc>
          <w:tcPr>
            <w:tcW w:type="dxa" w:w="2268"/>
            <w:tcMar>
              <w:top w:w="70" w:type="dxa"/>
              <w:start w:w="75" w:type="dxa"/>
              <w:bottom w:w="70" w:type="dxa"/>
              <w:end w:w="75" w:type="dxa"/>
            </w:tcMar>
            <w:vAlign w:val="top"/>
          </w:tcPr>
          <w:p>
            <w:pPr>
              <w:spacing w:after="0" w:line="240" w:lineRule="auto"/>
            </w:pPr>
            <w:r>
              <w:rPr>
                <w:rFonts w:ascii="Arial" w:hAnsi="Arial"/>
                <w:b/>
                <w:sz w:val="17"/>
              </w:rPr>
              <w:t>Limite</w:t>
            </w:r>
          </w:p>
        </w:tc>
        <w:tc>
          <w:tcPr>
            <w:tcW w:type="dxa" w:w="7143"/>
            <w:tcMar>
              <w:top w:w="70" w:type="dxa"/>
              <w:start w:w="75" w:type="dxa"/>
              <w:bottom w:w="70" w:type="dxa"/>
              <w:end w:w="75" w:type="dxa"/>
            </w:tcMar>
            <w:vAlign w:val="top"/>
          </w:tcPr>
          <w:p>
            <w:pPr>
              <w:spacing w:after="0" w:line="240" w:lineRule="auto"/>
            </w:pPr>
            <w:r>
              <w:rPr>
                <w:rFonts w:ascii="Arial" w:hAnsi="Arial"/>
                <w:b w:val="0"/>
                <w:sz w:val="17"/>
              </w:rPr>
              <w:t>afișate în conversație și în consimțământ</w:t>
            </w:r>
          </w:p>
        </w:tc>
      </w:tr>
    </w:tbl>
    <w:p>
      <w:pPr>
        <w:spacing w:after="20"/>
      </w:pPr>
    </w:p>
    <w:p>
      <w:pPr>
        <w:pStyle w:val="Heading1"/>
        <w:keepNext/>
      </w:pPr>
      <w:r>
        <w:t>12. Documentarea clinică</w:t>
      </w:r>
    </w:p>
    <w:p>
      <w:pPr>
        <w:pStyle w:val="Heading2"/>
        <w:keepNext/>
      </w:pPr>
      <w:r>
        <w:t>12.1. Documente obligatorii</w:t>
      </w:r>
    </w:p>
    <w:p>
      <w:pPr>
        <w:pStyle w:val="ListBullet"/>
        <w:spacing w:after="52"/>
      </w:pPr>
      <w:r>
        <w:t>evaluare inițială;</w:t>
      </w:r>
    </w:p>
    <w:p>
      <w:pPr>
        <w:pStyle w:val="ListBullet"/>
        <w:spacing w:after="52"/>
      </w:pPr>
      <w:r>
        <w:t>formulare clinică;</w:t>
      </w:r>
    </w:p>
    <w:p>
      <w:pPr>
        <w:pStyle w:val="ListBullet"/>
        <w:spacing w:after="52"/>
      </w:pPr>
      <w:r>
        <w:t>harta și justificarea cărărilor;</w:t>
      </w:r>
    </w:p>
    <w:p>
      <w:pPr>
        <w:pStyle w:val="ListBullet"/>
        <w:spacing w:after="52"/>
      </w:pPr>
      <w:r>
        <w:t>plan 7/30/90 zile;</w:t>
      </w:r>
    </w:p>
    <w:p>
      <w:pPr>
        <w:pStyle w:val="ListBullet"/>
        <w:spacing w:after="52"/>
      </w:pPr>
      <w:r>
        <w:t>plan de siguranță;</w:t>
      </w:r>
    </w:p>
    <w:p>
      <w:pPr>
        <w:pStyle w:val="ListBullet"/>
        <w:spacing w:after="52"/>
      </w:pPr>
      <w:r>
        <w:t>note de progres;</w:t>
      </w:r>
    </w:p>
    <w:p>
      <w:pPr>
        <w:pStyle w:val="ListBullet"/>
        <w:spacing w:after="52"/>
      </w:pPr>
      <w:r>
        <w:t>alerte și răspunsuri;</w:t>
      </w:r>
    </w:p>
    <w:p>
      <w:pPr>
        <w:pStyle w:val="ListBullet"/>
        <w:spacing w:after="52"/>
      </w:pPr>
      <w:r>
        <w:t>episoade de alunecare/recădere;</w:t>
      </w:r>
    </w:p>
    <w:p>
      <w:pPr>
        <w:pStyle w:val="ListBullet"/>
        <w:spacing w:after="52"/>
      </w:pPr>
      <w:r>
        <w:t>note de grup;</w:t>
      </w:r>
    </w:p>
    <w:p>
      <w:pPr>
        <w:pStyle w:val="ListBullet"/>
        <w:spacing w:after="52"/>
      </w:pPr>
      <w:r>
        <w:t>tranziție și plan de întreținere;</w:t>
      </w:r>
    </w:p>
    <w:p>
      <w:pPr>
        <w:pStyle w:val="ListBullet"/>
        <w:spacing w:after="52"/>
      </w:pPr>
      <w:r>
        <w:t>consimțăminte și accesul aparținătorilor.</w:t>
      </w:r>
    </w:p>
    <w:p>
      <w:pPr>
        <w:pStyle w:val="Heading2"/>
        <w:keepNext/>
      </w:pPr>
      <w:r>
        <w:t>12.2. Structura notei de progres</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984"/>
            <w:shd w:fill="17324D"/>
            <w:tcMar>
              <w:top w:w="85" w:type="dxa"/>
              <w:start w:w="90" w:type="dxa"/>
              <w:bottom w:w="85" w:type="dxa"/>
              <w:end w:w="90" w:type="dxa"/>
            </w:tcMar>
            <w:vAlign w:val="top"/>
          </w:tcPr>
          <w:p>
            <w:pPr>
              <w:spacing w:line="240" w:lineRule="auto"/>
            </w:pPr>
            <w:r>
              <w:rPr>
                <w:rFonts w:ascii="Arial" w:hAnsi="Arial"/>
                <w:b/>
                <w:color w:val="FFFFFF"/>
                <w:sz w:val="17"/>
              </w:rPr>
              <w:t>Componentă</w:t>
            </w:r>
          </w:p>
        </w:tc>
        <w:tc>
          <w:tcPr>
            <w:tcW w:type="dxa" w:w="7427"/>
            <w:shd w:fill="17324D"/>
            <w:tcMar>
              <w:top w:w="85" w:type="dxa"/>
              <w:start w:w="90" w:type="dxa"/>
              <w:bottom w:w="85" w:type="dxa"/>
              <w:end w:w="90" w:type="dxa"/>
            </w:tcMar>
            <w:vAlign w:val="top"/>
          </w:tcPr>
          <w:p>
            <w:pPr>
              <w:spacing w:line="240" w:lineRule="auto"/>
            </w:pPr>
            <w:r>
              <w:rPr>
                <w:rFonts w:ascii="Arial" w:hAnsi="Arial"/>
                <w:b/>
                <w:color w:val="FFFFFF"/>
                <w:sz w:val="17"/>
              </w:rPr>
              <w:t>Conținut</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Date</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contact, format, participanți</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Subiectiv</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relatarea pacientului și obiectivele sale</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Obiectiv</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observații și date relevante</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Evaluare</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schimbări, risc, bariere, resurse</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Plan</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intervenții, sarcini, responsabil, termen</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Cărări</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status și motivul schimbării, dacă există</w:t>
            </w:r>
          </w:p>
        </w:tc>
      </w:tr>
    </w:tbl>
    <w:p>
      <w:pPr>
        <w:spacing w:after="20"/>
      </w:pPr>
    </w:p>
    <w:p>
      <w:pPr>
        <w:pStyle w:val="Heading2"/>
        <w:keepNext/>
      </w:pPr>
      <w:r>
        <w:t>12.3. Principii de scriere</w:t>
      </w:r>
    </w:p>
    <w:p>
      <w:pPr>
        <w:pStyle w:val="ListBullet"/>
        <w:spacing w:after="52"/>
      </w:pPr>
      <w:r>
        <w:t>factual și lipsit de stigmatizare;</w:t>
      </w:r>
    </w:p>
    <w:p>
      <w:pPr>
        <w:pStyle w:val="ListBullet"/>
        <w:spacing w:after="52"/>
      </w:pPr>
      <w:r>
        <w:t>separarea observației de inferență;</w:t>
      </w:r>
    </w:p>
    <w:p>
      <w:pPr>
        <w:pStyle w:val="ListBullet"/>
        <w:spacing w:after="52"/>
      </w:pPr>
      <w:r>
        <w:t>citate scurte când sunt clinic relevante;</w:t>
      </w:r>
    </w:p>
    <w:p>
      <w:pPr>
        <w:pStyle w:val="ListBullet"/>
        <w:spacing w:after="52"/>
      </w:pPr>
      <w:r>
        <w:t>corecții prin addendum, nu ștergere invizibilă;</w:t>
      </w:r>
    </w:p>
    <w:p>
      <w:pPr>
        <w:pStyle w:val="ListBullet"/>
        <w:spacing w:after="52"/>
      </w:pPr>
      <w:r>
        <w:t>documentarea refuzului și a preferințelor;</w:t>
      </w:r>
    </w:p>
    <w:p>
      <w:pPr>
        <w:pStyle w:val="ListBullet"/>
        <w:spacing w:after="52"/>
      </w:pPr>
      <w:r>
        <w:t>minimum necesar pentru scop.</w:t>
      </w:r>
    </w:p>
    <w:p>
      <w:pPr>
        <w:pStyle w:val="Heading1"/>
        <w:keepNext/>
      </w:pPr>
      <w:r>
        <w:t>13. Rolurile echipei și supervizarea</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438"/>
            <w:shd w:fill="17324D"/>
            <w:tcMar>
              <w:top w:w="85" w:type="dxa"/>
              <w:start w:w="90" w:type="dxa"/>
              <w:bottom w:w="85" w:type="dxa"/>
              <w:end w:w="90" w:type="dxa"/>
            </w:tcMar>
            <w:vAlign w:val="top"/>
          </w:tcPr>
          <w:p>
            <w:pPr>
              <w:spacing w:line="240" w:lineRule="auto"/>
            </w:pPr>
            <w:r>
              <w:rPr>
                <w:rFonts w:ascii="Arial" w:hAnsi="Arial"/>
                <w:b/>
                <w:color w:val="FFFFFF"/>
                <w:sz w:val="17"/>
              </w:rPr>
              <w:t>Rol</w:t>
            </w:r>
          </w:p>
        </w:tc>
        <w:tc>
          <w:tcPr>
            <w:tcW w:type="dxa" w:w="6973"/>
            <w:shd w:fill="17324D"/>
            <w:tcMar>
              <w:top w:w="85" w:type="dxa"/>
              <w:start w:w="90" w:type="dxa"/>
              <w:bottom w:w="85" w:type="dxa"/>
              <w:end w:w="90" w:type="dxa"/>
            </w:tcMar>
            <w:vAlign w:val="top"/>
          </w:tcPr>
          <w:p>
            <w:pPr>
              <w:spacing w:line="240" w:lineRule="auto"/>
            </w:pPr>
            <w:r>
              <w:rPr>
                <w:rFonts w:ascii="Arial" w:hAnsi="Arial"/>
                <w:b/>
                <w:color w:val="FFFFFF"/>
                <w:sz w:val="17"/>
              </w:rPr>
              <w:t>Responsabilități</w:t>
            </w:r>
          </w:p>
        </w:tc>
      </w:tr>
      <w:tr>
        <w:tc>
          <w:tcPr>
            <w:tcW w:type="dxa" w:w="2438"/>
            <w:tcMar>
              <w:top w:w="70" w:type="dxa"/>
              <w:start w:w="75" w:type="dxa"/>
              <w:bottom w:w="70" w:type="dxa"/>
              <w:end w:w="75" w:type="dxa"/>
            </w:tcMar>
            <w:vAlign w:val="top"/>
          </w:tcPr>
          <w:p>
            <w:pPr>
              <w:spacing w:after="0" w:line="240" w:lineRule="auto"/>
            </w:pPr>
            <w:r>
              <w:rPr>
                <w:rFonts w:ascii="Arial" w:hAnsi="Arial"/>
                <w:b/>
                <w:sz w:val="17"/>
              </w:rPr>
              <w:t>Coordonator de caz</w:t>
            </w:r>
          </w:p>
        </w:tc>
        <w:tc>
          <w:tcPr>
            <w:tcW w:type="dxa" w:w="6973"/>
            <w:tcMar>
              <w:top w:w="70" w:type="dxa"/>
              <w:start w:w="75" w:type="dxa"/>
              <w:bottom w:w="70" w:type="dxa"/>
              <w:end w:w="75" w:type="dxa"/>
            </w:tcMar>
            <w:vAlign w:val="top"/>
          </w:tcPr>
          <w:p>
            <w:pPr>
              <w:spacing w:after="0" w:line="240" w:lineRule="auto"/>
            </w:pPr>
            <w:r>
              <w:rPr>
                <w:rFonts w:ascii="Arial" w:hAnsi="Arial"/>
                <w:b w:val="0"/>
                <w:sz w:val="17"/>
              </w:rPr>
              <w:t>integrează formularea, planul, cărările și comunicarea echipei</w:t>
            </w:r>
          </w:p>
        </w:tc>
      </w:tr>
      <w:tr>
        <w:tc>
          <w:tcPr>
            <w:tcW w:type="dxa" w:w="2438"/>
            <w:tcMar>
              <w:top w:w="70" w:type="dxa"/>
              <w:start w:w="75" w:type="dxa"/>
              <w:bottom w:w="70" w:type="dxa"/>
              <w:end w:w="75" w:type="dxa"/>
            </w:tcMar>
            <w:vAlign w:val="top"/>
            <w:shd w:fill="F9FBFC"/>
          </w:tcPr>
          <w:p>
            <w:pPr>
              <w:spacing w:after="0" w:line="240" w:lineRule="auto"/>
            </w:pPr>
            <w:r>
              <w:rPr>
                <w:rFonts w:ascii="Arial" w:hAnsi="Arial"/>
                <w:b/>
                <w:sz w:val="17"/>
              </w:rPr>
              <w:t>Medic</w:t>
            </w:r>
          </w:p>
        </w:tc>
        <w:tc>
          <w:tcPr>
            <w:tcW w:type="dxa" w:w="6973"/>
            <w:tcMar>
              <w:top w:w="70" w:type="dxa"/>
              <w:start w:w="75" w:type="dxa"/>
              <w:bottom w:w="70" w:type="dxa"/>
              <w:end w:w="75" w:type="dxa"/>
            </w:tcMar>
            <w:vAlign w:val="top"/>
            <w:shd w:fill="F9FBFC"/>
          </w:tcPr>
          <w:p>
            <w:pPr>
              <w:spacing w:after="0" w:line="240" w:lineRule="auto"/>
            </w:pPr>
            <w:r>
              <w:rPr>
                <w:rFonts w:ascii="Arial" w:hAnsi="Arial"/>
                <w:b w:val="0"/>
                <w:sz w:val="17"/>
              </w:rPr>
              <w:t>diagnostic, risc medical/psihiatric, nivel de îngrijire, farmacoterapie</w:t>
            </w:r>
          </w:p>
        </w:tc>
      </w:tr>
      <w:tr>
        <w:tc>
          <w:tcPr>
            <w:tcW w:type="dxa" w:w="2438"/>
            <w:tcMar>
              <w:top w:w="70" w:type="dxa"/>
              <w:start w:w="75" w:type="dxa"/>
              <w:bottom w:w="70" w:type="dxa"/>
              <w:end w:w="75" w:type="dxa"/>
            </w:tcMar>
            <w:vAlign w:val="top"/>
          </w:tcPr>
          <w:p>
            <w:pPr>
              <w:spacing w:after="0" w:line="240" w:lineRule="auto"/>
            </w:pPr>
            <w:r>
              <w:rPr>
                <w:rFonts w:ascii="Arial" w:hAnsi="Arial"/>
                <w:b/>
                <w:sz w:val="17"/>
              </w:rPr>
              <w:t>Psiholog/psihoterapeut</w:t>
            </w:r>
          </w:p>
        </w:tc>
        <w:tc>
          <w:tcPr>
            <w:tcW w:type="dxa" w:w="6973"/>
            <w:tcMar>
              <w:top w:w="70" w:type="dxa"/>
              <w:start w:w="75" w:type="dxa"/>
              <w:bottom w:w="70" w:type="dxa"/>
              <w:end w:w="75" w:type="dxa"/>
            </w:tcMar>
            <w:vAlign w:val="top"/>
          </w:tcPr>
          <w:p>
            <w:pPr>
              <w:spacing w:after="0" w:line="240" w:lineRule="auto"/>
            </w:pPr>
            <w:r>
              <w:rPr>
                <w:rFonts w:ascii="Arial" w:hAnsi="Arial"/>
                <w:b w:val="0"/>
                <w:sz w:val="17"/>
              </w:rPr>
              <w:t>motivație, formulare psihologică, intervenții și prevenirea recăderii</w:t>
            </w:r>
          </w:p>
        </w:tc>
      </w:tr>
      <w:tr>
        <w:tc>
          <w:tcPr>
            <w:tcW w:type="dxa" w:w="2438"/>
            <w:tcMar>
              <w:top w:w="70" w:type="dxa"/>
              <w:start w:w="75" w:type="dxa"/>
              <w:bottom w:w="70" w:type="dxa"/>
              <w:end w:w="75" w:type="dxa"/>
            </w:tcMar>
            <w:vAlign w:val="top"/>
            <w:shd w:fill="F9FBFC"/>
          </w:tcPr>
          <w:p>
            <w:pPr>
              <w:spacing w:after="0" w:line="240" w:lineRule="auto"/>
            </w:pPr>
            <w:r>
              <w:rPr>
                <w:rFonts w:ascii="Arial" w:hAnsi="Arial"/>
                <w:b/>
                <w:sz w:val="17"/>
              </w:rPr>
              <w:t>Asistent medical</w:t>
            </w:r>
          </w:p>
        </w:tc>
        <w:tc>
          <w:tcPr>
            <w:tcW w:type="dxa" w:w="6973"/>
            <w:tcMar>
              <w:top w:w="70" w:type="dxa"/>
              <w:start w:w="75" w:type="dxa"/>
              <w:bottom w:w="70" w:type="dxa"/>
              <w:end w:w="75" w:type="dxa"/>
            </w:tcMar>
            <w:vAlign w:val="top"/>
            <w:shd w:fill="F9FBFC"/>
          </w:tcPr>
          <w:p>
            <w:pPr>
              <w:spacing w:after="0" w:line="240" w:lineRule="auto"/>
            </w:pPr>
            <w:r>
              <w:rPr>
                <w:rFonts w:ascii="Arial" w:hAnsi="Arial"/>
                <w:b w:val="0"/>
                <w:sz w:val="17"/>
              </w:rPr>
              <w:t>monitorizare, educație, aderență, observație și legătură</w:t>
            </w:r>
          </w:p>
        </w:tc>
      </w:tr>
      <w:tr>
        <w:tc>
          <w:tcPr>
            <w:tcW w:type="dxa" w:w="2438"/>
            <w:tcMar>
              <w:top w:w="70" w:type="dxa"/>
              <w:start w:w="75" w:type="dxa"/>
              <w:bottom w:w="70" w:type="dxa"/>
              <w:end w:w="75" w:type="dxa"/>
            </w:tcMar>
            <w:vAlign w:val="top"/>
          </w:tcPr>
          <w:p>
            <w:pPr>
              <w:spacing w:after="0" w:line="240" w:lineRule="auto"/>
            </w:pPr>
            <w:r>
              <w:rPr>
                <w:rFonts w:ascii="Arial" w:hAnsi="Arial"/>
                <w:b/>
                <w:sz w:val="17"/>
              </w:rPr>
              <w:t>Asistent social</w:t>
            </w:r>
          </w:p>
        </w:tc>
        <w:tc>
          <w:tcPr>
            <w:tcW w:type="dxa" w:w="6973"/>
            <w:tcMar>
              <w:top w:w="70" w:type="dxa"/>
              <w:start w:w="75" w:type="dxa"/>
              <w:bottom w:w="70" w:type="dxa"/>
              <w:end w:w="75" w:type="dxa"/>
            </w:tcMar>
            <w:vAlign w:val="top"/>
          </w:tcPr>
          <w:p>
            <w:pPr>
              <w:spacing w:after="0" w:line="240" w:lineRule="auto"/>
            </w:pPr>
            <w:r>
              <w:rPr>
                <w:rFonts w:ascii="Arial" w:hAnsi="Arial"/>
                <w:b w:val="0"/>
                <w:sz w:val="17"/>
              </w:rPr>
              <w:t>locuire, beneficii, familie, juridic și reintegrare</w:t>
            </w:r>
          </w:p>
        </w:tc>
      </w:tr>
      <w:tr>
        <w:tc>
          <w:tcPr>
            <w:tcW w:type="dxa" w:w="2438"/>
            <w:tcMar>
              <w:top w:w="70" w:type="dxa"/>
              <w:start w:w="75" w:type="dxa"/>
              <w:bottom w:w="70" w:type="dxa"/>
              <w:end w:w="75" w:type="dxa"/>
            </w:tcMar>
            <w:vAlign w:val="top"/>
            <w:shd w:fill="F9FBFC"/>
          </w:tcPr>
          <w:p>
            <w:pPr>
              <w:spacing w:after="0" w:line="240" w:lineRule="auto"/>
            </w:pPr>
            <w:r>
              <w:rPr>
                <w:rFonts w:ascii="Arial" w:hAnsi="Arial"/>
                <w:b/>
                <w:sz w:val="17"/>
              </w:rPr>
              <w:t>Terapeut ocupațional</w:t>
            </w:r>
          </w:p>
        </w:tc>
        <w:tc>
          <w:tcPr>
            <w:tcW w:type="dxa" w:w="6973"/>
            <w:tcMar>
              <w:top w:w="70" w:type="dxa"/>
              <w:start w:w="75" w:type="dxa"/>
              <w:bottom w:w="70" w:type="dxa"/>
              <w:end w:w="75" w:type="dxa"/>
            </w:tcMar>
            <w:vAlign w:val="top"/>
            <w:shd w:fill="F9FBFC"/>
          </w:tcPr>
          <w:p>
            <w:pPr>
              <w:spacing w:after="0" w:line="240" w:lineRule="auto"/>
            </w:pPr>
            <w:r>
              <w:rPr>
                <w:rFonts w:ascii="Arial" w:hAnsi="Arial"/>
                <w:b w:val="0"/>
                <w:sz w:val="17"/>
              </w:rPr>
              <w:t>rutină, activitate, competențe, creație și autonomie</w:t>
            </w:r>
          </w:p>
        </w:tc>
      </w:tr>
      <w:tr>
        <w:tc>
          <w:tcPr>
            <w:tcW w:type="dxa" w:w="2438"/>
            <w:tcMar>
              <w:top w:w="70" w:type="dxa"/>
              <w:start w:w="75" w:type="dxa"/>
              <w:bottom w:w="70" w:type="dxa"/>
              <w:end w:w="75" w:type="dxa"/>
            </w:tcMar>
            <w:vAlign w:val="top"/>
          </w:tcPr>
          <w:p>
            <w:pPr>
              <w:spacing w:after="0" w:line="240" w:lineRule="auto"/>
            </w:pPr>
            <w:r>
              <w:rPr>
                <w:rFonts w:ascii="Arial" w:hAnsi="Arial"/>
                <w:b/>
                <w:sz w:val="17"/>
              </w:rPr>
              <w:t>Facilitator grup</w:t>
            </w:r>
          </w:p>
        </w:tc>
        <w:tc>
          <w:tcPr>
            <w:tcW w:type="dxa" w:w="6973"/>
            <w:tcMar>
              <w:top w:w="70" w:type="dxa"/>
              <w:start w:w="75" w:type="dxa"/>
              <w:bottom w:w="70" w:type="dxa"/>
              <w:end w:w="75" w:type="dxa"/>
            </w:tcMar>
            <w:vAlign w:val="top"/>
          </w:tcPr>
          <w:p>
            <w:pPr>
              <w:spacing w:after="0" w:line="240" w:lineRule="auto"/>
            </w:pPr>
            <w:r>
              <w:rPr>
                <w:rFonts w:ascii="Arial" w:hAnsi="Arial"/>
                <w:b w:val="0"/>
                <w:sz w:val="17"/>
              </w:rPr>
              <w:t>placement, sesiune, reguli, documentare și incidente</w:t>
            </w:r>
          </w:p>
        </w:tc>
      </w:tr>
      <w:tr>
        <w:tc>
          <w:tcPr>
            <w:tcW w:type="dxa" w:w="2438"/>
            <w:tcMar>
              <w:top w:w="70" w:type="dxa"/>
              <w:start w:w="75" w:type="dxa"/>
              <w:bottom w:w="70" w:type="dxa"/>
              <w:end w:w="75" w:type="dxa"/>
            </w:tcMar>
            <w:vAlign w:val="top"/>
            <w:shd w:fill="F9FBFC"/>
          </w:tcPr>
          <w:p>
            <w:pPr>
              <w:spacing w:after="0" w:line="240" w:lineRule="auto"/>
            </w:pPr>
            <w:r>
              <w:rPr>
                <w:rFonts w:ascii="Arial" w:hAnsi="Arial"/>
                <w:b/>
                <w:sz w:val="17"/>
              </w:rPr>
              <w:t>Peer supporter</w:t>
            </w:r>
          </w:p>
        </w:tc>
        <w:tc>
          <w:tcPr>
            <w:tcW w:type="dxa" w:w="6973"/>
            <w:tcMar>
              <w:top w:w="70" w:type="dxa"/>
              <w:start w:w="75" w:type="dxa"/>
              <w:bottom w:w="70" w:type="dxa"/>
              <w:end w:w="75" w:type="dxa"/>
            </w:tcMar>
            <w:vAlign w:val="top"/>
            <w:shd w:fill="F9FBFC"/>
          </w:tcPr>
          <w:p>
            <w:pPr>
              <w:spacing w:after="0" w:line="240" w:lineRule="auto"/>
            </w:pPr>
            <w:r>
              <w:rPr>
                <w:rFonts w:ascii="Arial" w:hAnsi="Arial"/>
                <w:b w:val="0"/>
                <w:sz w:val="17"/>
              </w:rPr>
              <w:t>sprijin prin experiență, în limite și sub supervizare</w:t>
            </w:r>
          </w:p>
        </w:tc>
      </w:tr>
      <w:tr>
        <w:tc>
          <w:tcPr>
            <w:tcW w:type="dxa" w:w="2438"/>
            <w:tcMar>
              <w:top w:w="70" w:type="dxa"/>
              <w:start w:w="75" w:type="dxa"/>
              <w:bottom w:w="70" w:type="dxa"/>
              <w:end w:w="75" w:type="dxa"/>
            </w:tcMar>
            <w:vAlign w:val="top"/>
          </w:tcPr>
          <w:p>
            <w:pPr>
              <w:spacing w:after="0" w:line="240" w:lineRule="auto"/>
            </w:pPr>
            <w:r>
              <w:rPr>
                <w:rFonts w:ascii="Arial" w:hAnsi="Arial"/>
                <w:b/>
                <w:sz w:val="17"/>
              </w:rPr>
              <w:t>Consilier spiritual</w:t>
            </w:r>
          </w:p>
        </w:tc>
        <w:tc>
          <w:tcPr>
            <w:tcW w:type="dxa" w:w="6973"/>
            <w:tcMar>
              <w:top w:w="70" w:type="dxa"/>
              <w:start w:w="75" w:type="dxa"/>
              <w:bottom w:w="70" w:type="dxa"/>
              <w:end w:w="75" w:type="dxa"/>
            </w:tcMar>
            <w:vAlign w:val="top"/>
          </w:tcPr>
          <w:p>
            <w:pPr>
              <w:spacing w:after="0" w:line="240" w:lineRule="auto"/>
            </w:pPr>
            <w:r>
              <w:rPr>
                <w:rFonts w:ascii="Arial" w:hAnsi="Arial"/>
                <w:b w:val="0"/>
                <w:sz w:val="17"/>
              </w:rPr>
              <w:t>intervenție exclusiv voluntară, necoercitivă și compatibilă cu tratamentul</w:t>
            </w:r>
          </w:p>
        </w:tc>
      </w:tr>
    </w:tbl>
    <w:p>
      <w:pPr>
        <w:spacing w:after="20"/>
      </w:pPr>
    </w:p>
    <w:p>
      <w:pPr>
        <w:pStyle w:val="Heading2"/>
        <w:keepNext/>
      </w:pPr>
      <w:r>
        <w:t>13.1. Ritmul echipei</w:t>
      </w:r>
    </w:p>
    <w:p>
      <w:pPr>
        <w:pStyle w:val="ListBullet"/>
        <w:spacing w:after="52"/>
      </w:pPr>
      <w:r>
        <w:t>review scurt al alertelor în fiecare zi de funcționare;</w:t>
      </w:r>
    </w:p>
    <w:p>
      <w:pPr>
        <w:pStyle w:val="ListBullet"/>
        <w:spacing w:after="52"/>
      </w:pPr>
      <w:r>
        <w:t>ședință multidisciplinară săptămânală pentru cazurile active complexe;</w:t>
      </w:r>
    </w:p>
    <w:p>
      <w:pPr>
        <w:pStyle w:val="ListBullet"/>
        <w:spacing w:after="52"/>
      </w:pPr>
      <w:r>
        <w:t>supervizare clinică periodică;</w:t>
      </w:r>
    </w:p>
    <w:p>
      <w:pPr>
        <w:pStyle w:val="ListBullet"/>
        <w:spacing w:after="52"/>
      </w:pPr>
      <w:r>
        <w:t>analiza incidentelor și a cazurilor pierdute din follow-up;</w:t>
      </w:r>
    </w:p>
    <w:p>
      <w:pPr>
        <w:pStyle w:val="ListBullet"/>
        <w:spacing w:after="52"/>
      </w:pPr>
      <w:r>
        <w:t>revizuirea lunară a fidelității programului.</w:t>
      </w:r>
    </w:p>
    <w:p>
      <w:pPr>
        <w:pStyle w:val="Heading2"/>
        <w:keepNext/>
      </w:pPr>
      <w:r>
        <w:t>13.2. Fidelitatea programului</w:t>
      </w:r>
    </w:p>
    <w:p>
      <w:pPr>
        <w:spacing w:after="70"/>
      </w:pPr>
      <w:r>
        <w:rPr>
          <w:i w:val="0"/>
        </w:rPr>
        <w:t>Fidelitatea nu înseamnă rigiditate. Trebuie urmărite elementele esențiale: poarta de siguranță, evaluarea multidimensională, decizia comună, planul etapizat, monitorizarea, răspunsul la recădere și continuitatea. Intervențiile specifice pot varia în funcție de pacient și serviciu.</w:t>
      </w:r>
    </w:p>
    <w:p>
      <w:pPr>
        <w:pStyle w:val="Heading1"/>
        <w:keepNext/>
      </w:pPr>
      <w:r>
        <w:t>14. Tranziția și întreținerea</w:t>
      </w:r>
    </w:p>
    <w:p>
      <w:pPr>
        <w:pStyle w:val="Heading2"/>
        <w:keepNext/>
      </w:pPr>
      <w:r>
        <w:t>14.1. Criterii de trecere în întreținere</w:t>
      </w:r>
    </w:p>
    <w:p>
      <w:pPr>
        <w:pStyle w:val="ListBullet"/>
        <w:spacing w:after="52"/>
      </w:pPr>
      <w:r>
        <w:t>riscurile acute sunt gestionate;</w:t>
      </w:r>
    </w:p>
    <w:p>
      <w:pPr>
        <w:pStyle w:val="ListBullet"/>
        <w:spacing w:after="52"/>
      </w:pPr>
      <w:r>
        <w:t>pacientul cunoaște semnele timpurii și planul de revenire;</w:t>
      </w:r>
    </w:p>
    <w:p>
      <w:pPr>
        <w:pStyle w:val="ListBullet"/>
        <w:spacing w:after="52"/>
      </w:pPr>
      <w:r>
        <w:t>există tratament și follow-up;</w:t>
      </w:r>
    </w:p>
    <w:p>
      <w:pPr>
        <w:pStyle w:val="ListBullet"/>
        <w:spacing w:after="52"/>
      </w:pPr>
      <w:r>
        <w:t>are cel puțin o relație de sprijin;</w:t>
      </w:r>
    </w:p>
    <w:p>
      <w:pPr>
        <w:pStyle w:val="ListBullet"/>
        <w:spacing w:after="52"/>
      </w:pPr>
      <w:r>
        <w:t>poate utiliza strategii și cere ajutor;</w:t>
      </w:r>
    </w:p>
    <w:p>
      <w:pPr>
        <w:pStyle w:val="ListBullet"/>
        <w:spacing w:after="52"/>
      </w:pPr>
      <w:r>
        <w:t>obiectivele funcționale următoare sunt clare.</w:t>
      </w:r>
    </w:p>
    <w:p>
      <w:pPr>
        <w:pStyle w:val="Heading2"/>
        <w:keepNext/>
      </w:pPr>
      <w:r>
        <w:t>14.2. Planul de întreținere</w:t>
      </w:r>
    </w:p>
    <w:p>
      <w:pPr>
        <w:pStyle w:val="ListBullet"/>
        <w:spacing w:after="52"/>
      </w:pPr>
      <w:r>
        <w:t>frecvența contactelor;</w:t>
      </w:r>
    </w:p>
    <w:p>
      <w:pPr>
        <w:pStyle w:val="ListBullet"/>
        <w:spacing w:after="52"/>
      </w:pPr>
      <w:r>
        <w:t>grup sau comunitate;</w:t>
      </w:r>
    </w:p>
    <w:p>
      <w:pPr>
        <w:pStyle w:val="ListBullet"/>
        <w:spacing w:after="52"/>
      </w:pPr>
      <w:r>
        <w:t>tratament și monitorizare;</w:t>
      </w:r>
    </w:p>
    <w:p>
      <w:pPr>
        <w:pStyle w:val="ListBullet"/>
        <w:spacing w:after="52"/>
      </w:pPr>
      <w:r>
        <w:t>check-inuri opționale;</w:t>
      </w:r>
    </w:p>
    <w:p>
      <w:pPr>
        <w:pStyle w:val="ListBullet"/>
        <w:spacing w:after="52"/>
      </w:pPr>
      <w:r>
        <w:t>situații de risc previzibile;</w:t>
      </w:r>
    </w:p>
    <w:p>
      <w:pPr>
        <w:pStyle w:val="ListBullet"/>
        <w:spacing w:after="52"/>
      </w:pPr>
      <w:r>
        <w:t>contact rapid după alunecare;</w:t>
      </w:r>
    </w:p>
    <w:p>
      <w:pPr>
        <w:pStyle w:val="ListBullet"/>
        <w:spacing w:after="52"/>
      </w:pPr>
      <w:r>
        <w:t>reevaluare periodică a cărărilor.</w:t>
      </w:r>
    </w:p>
    <w:p>
      <w:pPr>
        <w:pStyle w:val="Heading2"/>
        <w:keepNext/>
      </w:pPr>
      <w:r>
        <w:t>14.3. Închiderea programului</w:t>
      </w:r>
    </w:p>
    <w:p>
      <w:pPr>
        <w:spacing w:after="70"/>
      </w:pPr>
      <w:r>
        <w:rPr>
          <w:i w:val="0"/>
        </w:rPr>
        <w:t>Închiderea poate fi finalizare, transfer, retragere, pierdere din follow-up sau închidere administrativă. Documentul final trebuie să includă statusul, progresul, riscurile restante, serviciile recomandate și modul de revenire. Recăderea nu este un motiv automat de excludere.</w:t>
      </w:r>
    </w:p>
    <w:p>
      <w:pPr>
        <w:pStyle w:val="Heading1"/>
        <w:keepNext/>
      </w:pPr>
      <w:r>
        <w:t>15. Calitate, audit și validare</w:t>
      </w:r>
    </w:p>
    <w:p>
      <w:pPr>
        <w:pStyle w:val="Heading2"/>
        <w:keepNext/>
      </w:pPr>
      <w:r>
        <w:t>15.1. Indicatori de calitate clinică</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1984"/>
            <w:shd w:fill="17324D"/>
            <w:tcMar>
              <w:top w:w="85" w:type="dxa"/>
              <w:start w:w="90" w:type="dxa"/>
              <w:bottom w:w="85" w:type="dxa"/>
              <w:end w:w="90" w:type="dxa"/>
            </w:tcMar>
            <w:vAlign w:val="top"/>
          </w:tcPr>
          <w:p>
            <w:pPr>
              <w:spacing w:line="240" w:lineRule="auto"/>
            </w:pPr>
            <w:r>
              <w:rPr>
                <w:rFonts w:ascii="Arial" w:hAnsi="Arial"/>
                <w:b/>
                <w:color w:val="FFFFFF"/>
                <w:sz w:val="17"/>
              </w:rPr>
              <w:t>Categorie</w:t>
            </w:r>
          </w:p>
        </w:tc>
        <w:tc>
          <w:tcPr>
            <w:tcW w:type="dxa" w:w="7427"/>
            <w:shd w:fill="17324D"/>
            <w:tcMar>
              <w:top w:w="85" w:type="dxa"/>
              <w:start w:w="90" w:type="dxa"/>
              <w:bottom w:w="85" w:type="dxa"/>
              <w:end w:w="90" w:type="dxa"/>
            </w:tcMar>
            <w:vAlign w:val="top"/>
          </w:tcPr>
          <w:p>
            <w:pPr>
              <w:spacing w:line="240" w:lineRule="auto"/>
            </w:pPr>
            <w:r>
              <w:rPr>
                <w:rFonts w:ascii="Arial" w:hAnsi="Arial"/>
                <w:b/>
                <w:color w:val="FFFFFF"/>
                <w:sz w:val="17"/>
              </w:rPr>
              <w:t>Indicatori</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Siguranță</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alerte, timp de răspuns, incidente, transferuri, omisiuni</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Proces</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evaluări complete, planuri revizuite, contacte și grupuri</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Rezultate</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consum, funcționare, simptome, calitatea vieții</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Experiență</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acceptabilitate, povară, limbaj, control și încredere</w:t>
            </w:r>
          </w:p>
        </w:tc>
      </w:tr>
      <w:tr>
        <w:tc>
          <w:tcPr>
            <w:tcW w:type="dxa" w:w="1984"/>
            <w:tcMar>
              <w:top w:w="70" w:type="dxa"/>
              <w:start w:w="75" w:type="dxa"/>
              <w:bottom w:w="70" w:type="dxa"/>
              <w:end w:w="75" w:type="dxa"/>
            </w:tcMar>
            <w:vAlign w:val="top"/>
          </w:tcPr>
          <w:p>
            <w:pPr>
              <w:spacing w:after="0" w:line="240" w:lineRule="auto"/>
            </w:pPr>
            <w:r>
              <w:rPr>
                <w:rFonts w:ascii="Arial" w:hAnsi="Arial"/>
                <w:b/>
                <w:sz w:val="17"/>
              </w:rPr>
              <w:t>Echitate</w:t>
            </w:r>
          </w:p>
        </w:tc>
        <w:tc>
          <w:tcPr>
            <w:tcW w:type="dxa" w:w="7427"/>
            <w:tcMar>
              <w:top w:w="70" w:type="dxa"/>
              <w:start w:w="75" w:type="dxa"/>
              <w:bottom w:w="70" w:type="dxa"/>
              <w:end w:w="75" w:type="dxa"/>
            </w:tcMar>
            <w:vAlign w:val="top"/>
          </w:tcPr>
          <w:p>
            <w:pPr>
              <w:spacing w:after="0" w:line="240" w:lineRule="auto"/>
            </w:pPr>
            <w:r>
              <w:rPr>
                <w:rFonts w:ascii="Arial" w:hAnsi="Arial"/>
                <w:b w:val="0"/>
                <w:sz w:val="17"/>
              </w:rPr>
              <w:t>acces după vârstă, sex, mediu, dizabilitate și alfabetizare digitală</w:t>
            </w:r>
          </w:p>
        </w:tc>
      </w:tr>
      <w:tr>
        <w:tc>
          <w:tcPr>
            <w:tcW w:type="dxa" w:w="1984"/>
            <w:tcMar>
              <w:top w:w="70" w:type="dxa"/>
              <w:start w:w="75" w:type="dxa"/>
              <w:bottom w:w="70" w:type="dxa"/>
              <w:end w:w="75" w:type="dxa"/>
            </w:tcMar>
            <w:vAlign w:val="top"/>
            <w:shd w:fill="F9FBFC"/>
          </w:tcPr>
          <w:p>
            <w:pPr>
              <w:spacing w:after="0" w:line="240" w:lineRule="auto"/>
            </w:pPr>
            <w:r>
              <w:rPr>
                <w:rFonts w:ascii="Arial" w:hAnsi="Arial"/>
                <w:b/>
                <w:sz w:val="17"/>
              </w:rPr>
              <w:t>Fidelitate</w:t>
            </w:r>
          </w:p>
        </w:tc>
        <w:tc>
          <w:tcPr>
            <w:tcW w:type="dxa" w:w="7427"/>
            <w:tcMar>
              <w:top w:w="70" w:type="dxa"/>
              <w:start w:w="75" w:type="dxa"/>
              <w:bottom w:w="70" w:type="dxa"/>
              <w:end w:w="75" w:type="dxa"/>
            </w:tcMar>
            <w:vAlign w:val="top"/>
            <w:shd w:fill="F9FBFC"/>
          </w:tcPr>
          <w:p>
            <w:pPr>
              <w:spacing w:after="0" w:line="240" w:lineRule="auto"/>
            </w:pPr>
            <w:r>
              <w:rPr>
                <w:rFonts w:ascii="Arial" w:hAnsi="Arial"/>
                <w:b w:val="0"/>
                <w:sz w:val="17"/>
              </w:rPr>
              <w:t>elementele esențiale realizate și documentate</w:t>
            </w:r>
          </w:p>
        </w:tc>
      </w:tr>
    </w:tbl>
    <w:p>
      <w:pPr>
        <w:spacing w:after="20"/>
      </w:pPr>
    </w:p>
    <w:p>
      <w:pPr>
        <w:pStyle w:val="Heading2"/>
        <w:keepNext/>
      </w:pPr>
      <w:r>
        <w:t>15.2. Etapele validării</w:t>
      </w:r>
    </w:p>
    <w:tbl>
      <w:tblPr>
        <w:tblW w:type="auto" w:w="0"/>
        <w:jc w:val="center"/>
        <w:tblLayout w:type="fixed"/>
        <w:tblLook w:firstColumn="1" w:firstRow="1" w:lastColumn="0" w:lastRow="0" w:noHBand="0" w:noVBand="1" w:val="04A0"/>
      </w:tblPr>
      <w:tblGrid>
        <w:gridCol w:w="1606"/>
        <w:gridCol w:w="1606"/>
        <w:gridCol w:w="1606"/>
        <w:gridCol w:w="1606"/>
        <w:gridCol w:w="1606"/>
        <w:gridCol w:w="1606"/>
      </w:tblGrid>
      <w:tr>
        <w:tc>
          <w:tcPr>
            <w:tcW w:type="dxa" w:w="1569"/>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1</w:t>
              <w:br/>
            </w:r>
            <w:r>
              <w:rPr>
                <w:rFonts w:ascii="Arial" w:hAnsi="Arial"/>
                <w:sz w:val="16"/>
              </w:rPr>
              <w:t>Validitate de conținut</w:t>
            </w:r>
          </w:p>
        </w:tc>
        <w:tc>
          <w:tcPr>
            <w:tcW w:type="dxa" w:w="1569"/>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2</w:t>
              <w:br/>
            </w:r>
            <w:r>
              <w:rPr>
                <w:rFonts w:ascii="Arial" w:hAnsi="Arial"/>
                <w:sz w:val="16"/>
              </w:rPr>
              <w:t>Testare cognitivă</w:t>
            </w:r>
          </w:p>
        </w:tc>
        <w:tc>
          <w:tcPr>
            <w:tcW w:type="dxa" w:w="1569"/>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3</w:t>
              <w:br/>
            </w:r>
            <w:r>
              <w:rPr>
                <w:rFonts w:ascii="Arial" w:hAnsi="Arial"/>
                <w:sz w:val="16"/>
              </w:rPr>
              <w:t>Fezabilitate</w:t>
            </w:r>
          </w:p>
        </w:tc>
        <w:tc>
          <w:tcPr>
            <w:tcW w:type="dxa" w:w="1569"/>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4</w:t>
              <w:br/>
            </w:r>
            <w:r>
              <w:rPr>
                <w:rFonts w:ascii="Arial" w:hAnsi="Arial"/>
                <w:sz w:val="16"/>
              </w:rPr>
              <w:t>Siguranță</w:t>
            </w:r>
          </w:p>
        </w:tc>
        <w:tc>
          <w:tcPr>
            <w:tcW w:type="dxa" w:w="1569"/>
            <w:shd w:fill="EEF3F8"/>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5</w:t>
              <w:br/>
            </w:r>
            <w:r>
              <w:rPr>
                <w:rFonts w:ascii="Arial" w:hAnsi="Arial"/>
                <w:sz w:val="16"/>
              </w:rPr>
              <w:t>Semnal de efect</w:t>
            </w:r>
          </w:p>
        </w:tc>
        <w:tc>
          <w:tcPr>
            <w:tcW w:type="dxa" w:w="1569"/>
            <w:shd w:fill="EAF5F4"/>
            <w:tcBorders>
              <w:top w:val="single" w:sz="4" w:color="D6DEE6"/>
              <w:left w:val="single" w:sz="4" w:color="D6DEE6"/>
              <w:bottom w:val="single" w:sz="4" w:color="D6DEE6"/>
              <w:right w:val="single" w:sz="4" w:color="D6DEE6"/>
            </w:tcBorders>
            <w:tcMar>
              <w:top w:w="100" w:type="dxa"/>
              <w:start w:w="65" w:type="dxa"/>
              <w:bottom w:w="100" w:type="dxa"/>
              <w:end w:w="65" w:type="dxa"/>
            </w:tcMar>
            <w:vAlign w:val="top"/>
          </w:tcPr>
          <w:p>
            <w:pPr>
              <w:spacing w:line="240" w:lineRule="auto"/>
              <w:jc w:val="center"/>
            </w:pPr>
            <w:r>
              <w:rPr>
                <w:rFonts w:ascii="Arial" w:hAnsi="Arial"/>
                <w:b/>
                <w:color w:val="197A7A"/>
              </w:rPr>
              <w:t>6</w:t>
              <w:br/>
            </w:r>
            <w:r>
              <w:rPr>
                <w:rFonts w:ascii="Arial" w:hAnsi="Arial"/>
                <w:sz w:val="16"/>
              </w:rPr>
              <w:t>Studiu comparativ</w:t>
            </w:r>
          </w:p>
        </w:tc>
      </w:tr>
    </w:tbl>
    <w:p>
      <w:pPr>
        <w:spacing w:after="40"/>
      </w:pPr>
    </w:p>
    <w:p>
      <w:pPr>
        <w:pStyle w:val="Heading2"/>
        <w:keepNext/>
      </w:pPr>
      <w:r>
        <w:t>15.3. Pilotul clinic recomandat</w:t>
      </w:r>
    </w:p>
    <w:p>
      <w:pPr>
        <w:pStyle w:val="ListBullet"/>
        <w:spacing w:after="52"/>
      </w:pPr>
      <w:r>
        <w:t>adulți clinic stabili după sevraj alcool;</w:t>
      </w:r>
    </w:p>
    <w:p>
      <w:pPr>
        <w:pStyle w:val="ListBullet"/>
        <w:spacing w:after="52"/>
      </w:pPr>
      <w:r>
        <w:t>30–50 participanți pentru fezabilitate;</w:t>
      </w:r>
    </w:p>
    <w:p>
      <w:pPr>
        <w:pStyle w:val="ListBullet"/>
        <w:spacing w:after="52"/>
      </w:pPr>
      <w:r>
        <w:t>90 de zile de urmărire;</w:t>
      </w:r>
    </w:p>
    <w:p>
      <w:pPr>
        <w:pStyle w:val="ListBullet"/>
        <w:spacing w:after="52"/>
      </w:pPr>
      <w:r>
        <w:t>obiective primare: acceptabilitate, utilizare, siguranță și funcționare operațională;</w:t>
      </w:r>
    </w:p>
    <w:p>
      <w:pPr>
        <w:pStyle w:val="ListBullet"/>
        <w:spacing w:after="52"/>
      </w:pPr>
      <w:r>
        <w:t>comitet de siguranță și criterii de oprire;</w:t>
      </w:r>
    </w:p>
    <w:p>
      <w:pPr>
        <w:pStyle w:val="ListBullet"/>
        <w:spacing w:after="52"/>
      </w:pPr>
      <w:r>
        <w:t>analiză separată a beneficiilor și incidentelor chatbotului.</w:t>
      </w:r>
    </w:p>
    <w:tbl>
      <w:tblPr>
        <w:tblW w:type="auto" w:w="0"/>
        <w:jc w:val="center"/>
        <w:tblLayout w:type="fixed"/>
        <w:tblLook w:firstColumn="1" w:firstRow="1" w:lastColumn="0" w:lastRow="0" w:noHBand="0" w:noVBand="1" w:val="04A0"/>
      </w:tblPr>
      <w:tblGrid>
        <w:gridCol w:w="9638"/>
      </w:tblGrid>
      <w:tr>
        <w:tc>
          <w:tcPr>
            <w:tcW w:type="dxa" w:w="9411"/>
            <w:shd w:fill="FBF5E7"/>
            <w:tcBorders>
              <w:top w:val="single" w:sz="8" w:color="C79838"/>
              <w:left w:val="single" w:sz="8" w:color="C79838"/>
              <w:bottom w:val="single" w:sz="8" w:color="C79838"/>
              <w:right w:val="single" w:sz="8" w:color="C79838"/>
            </w:tcBorders>
            <w:tcMar>
              <w:top w:w="120" w:type="dxa"/>
              <w:start w:w="150" w:type="dxa"/>
              <w:bottom w:w="120" w:type="dxa"/>
              <w:end w:w="150" w:type="dxa"/>
            </w:tcMar>
            <w:vAlign w:val="top"/>
          </w:tcPr>
          <w:p>
            <w:pPr>
              <w:spacing w:line="240" w:lineRule="auto"/>
            </w:pPr>
            <w:r>
              <w:rPr>
                <w:rFonts w:ascii="Arial" w:hAnsi="Arial"/>
                <w:b/>
                <w:color w:val="C79838"/>
                <w:sz w:val="21"/>
              </w:rPr>
              <w:t>Atenție</w:t>
            </w:r>
          </w:p>
          <w:p>
            <w:pPr>
              <w:spacing w:after="0" w:line="240" w:lineRule="auto"/>
            </w:pPr>
            <w:r>
              <w:rPr>
                <w:rFonts w:ascii="Arial" w:hAnsi="Arial"/>
              </w:rPr>
              <w:t>Pilotul nu trebuie prezentat drept demonstrație de eficacitate. Prima etapă stabilește dacă programul poate fi folosit sigur și coerent, apoi dacă există un semnal suficient pentru studii comparative.</w:t>
            </w:r>
          </w:p>
        </w:tc>
      </w:tr>
    </w:tbl>
    <w:p>
      <w:pPr>
        <w:spacing w:after="20"/>
      </w:pPr>
    </w:p>
    <w:p>
      <w:pPr>
        <w:pStyle w:val="Heading2"/>
      </w:pPr>
      <w:r>
        <w:t>15.4. Reguli pentru utilizarea formularelor clinice</w:t>
      </w:r>
    </w:p>
    <w:p>
      <w:pPr>
        <w:pStyle w:val="ListBullet"/>
      </w:pPr>
      <w:r>
        <w:t>Formularele sunt suporturi pentru judecata clinică; ele nu substituie interviul, examenul clinic sau stabilirea nivelului de îngrijire.</w:t>
      </w:r>
    </w:p>
    <w:p>
      <w:pPr>
        <w:pStyle w:val="ListBullet"/>
      </w:pPr>
      <w:r>
        <w:t>Fiecare completare trebuie datată și atribuită unui profesionist identificabil, cu rolul și contextul contactului.</w:t>
      </w:r>
    </w:p>
    <w:p>
      <w:pPr>
        <w:pStyle w:val="ListBullet"/>
      </w:pPr>
      <w:r>
        <w:t>Se separă relatarea pacientului, observația directă, informația provenită de la terți și inferența clinicianului.</w:t>
      </w:r>
    </w:p>
    <w:p>
      <w:pPr>
        <w:pStyle w:val="ListBullet"/>
      </w:pPr>
      <w:r>
        <w:t>Informația indisponibilă se marchează „neevaluat” sau „necunoscut”; absența datelor nu se transformă într-un răspuns negativ.</w:t>
      </w:r>
    </w:p>
    <w:p>
      <w:pPr>
        <w:pStyle w:val="ListBullet"/>
      </w:pPr>
      <w:r>
        <w:t>Refuzul, amânarea sau imposibilitatea completării se documentează fără penalizarea pacientului și cu un plan de reluare, când este relevant.</w:t>
      </w:r>
    </w:p>
    <w:p>
      <w:pPr>
        <w:pStyle w:val="ListBullet"/>
      </w:pPr>
      <w:r>
        <w:t>Datele copiate din evaluări anterioare trebuie reconfirmate; modificările importante se versionează, nu se suprascriu invizibil.</w:t>
      </w:r>
    </w:p>
    <w:p>
      <w:pPr>
        <w:pStyle w:val="ListBullet"/>
      </w:pPr>
      <w:r>
        <w:t>Adaptările locale pot modifica formularea și fluxul, dar trebuie să păstreze câmpurile esențiale de siguranță, responsabilitate și continuitate.</w:t>
      </w:r>
    </w:p>
    <w:p>
      <w:pPr>
        <w:pStyle w:val="Heading2"/>
      </w:pPr>
      <w:r>
        <w:t>15.5. Setul minim la fiecare reevaluare planificată</w:t>
      </w:r>
    </w:p>
    <w:p>
      <w:pPr>
        <w:pStyle w:val="ListBullet"/>
      </w:pPr>
      <w:r>
        <w:t>consumul de la ultima evaluare, cravingul și situațiile de risc;</w:t>
      </w:r>
    </w:p>
    <w:p>
      <w:pPr>
        <w:pStyle w:val="ListBullet"/>
      </w:pPr>
      <w:r>
        <w:t>siguranța actuală și schimbările care pot impune alt nivel de îngrijire;</w:t>
      </w:r>
    </w:p>
    <w:p>
      <w:pPr>
        <w:pStyle w:val="ListBullet"/>
      </w:pPr>
      <w:r>
        <w:t>tratamentul, aderența, tolerabilitatea și contactele medicale necesare;</w:t>
      </w:r>
    </w:p>
    <w:p>
      <w:pPr>
        <w:pStyle w:val="ListBullet"/>
      </w:pPr>
      <w:r>
        <w:t>funcționarea, mediul de viață, sprijinul, barierele și resursele;</w:t>
      </w:r>
    </w:p>
    <w:p>
      <w:pPr>
        <w:pStyle w:val="ListBullet"/>
      </w:pPr>
      <w:r>
        <w:t>progresul pe cărarea principală și pe cărările de sprijin;</w:t>
      </w:r>
    </w:p>
    <w:p>
      <w:pPr>
        <w:pStyle w:val="ListBullet"/>
      </w:pPr>
      <w:r>
        <w:t>obiectivele următoare, responsabilul, termenul, contactul următor și criteriile de escaladare.</w:t>
      </w:r>
    </w:p>
    <w:p>
      <w:pPr>
        <w:pStyle w:val="Heading1"/>
        <w:keepNext/>
        <w:pageBreakBefore/>
      </w:pPr>
      <w:r>
        <w:t>ANEXA A. Fișa clinică de admitere în program</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3402"/>
            <w:shd w:fill="17324D"/>
            <w:tcMar>
              <w:top w:w="85" w:type="dxa"/>
              <w:start w:w="90" w:type="dxa"/>
              <w:bottom w:w="85" w:type="dxa"/>
              <w:end w:w="90" w:type="dxa"/>
            </w:tcMar>
            <w:vAlign w:val="top"/>
          </w:tcPr>
          <w:p>
            <w:pPr>
              <w:spacing w:line="240" w:lineRule="auto"/>
            </w:pPr>
            <w:r>
              <w:rPr>
                <w:rFonts w:ascii="Arial" w:hAnsi="Arial"/>
                <w:b/>
                <w:color w:val="FFFFFF"/>
                <w:sz w:val="17"/>
              </w:rPr>
              <w:t>Câmp</w:t>
            </w:r>
          </w:p>
        </w:tc>
        <w:tc>
          <w:tcPr>
            <w:tcW w:type="dxa" w:w="6009"/>
            <w:shd w:fill="17324D"/>
            <w:tcMar>
              <w:top w:w="85" w:type="dxa"/>
              <w:start w:w="90" w:type="dxa"/>
              <w:bottom w:w="85" w:type="dxa"/>
              <w:end w:w="90" w:type="dxa"/>
            </w:tcMar>
            <w:vAlign w:val="top"/>
          </w:tcPr>
          <w:p>
            <w:pPr>
              <w:spacing w:line="240" w:lineRule="auto"/>
            </w:pPr>
            <w:r>
              <w:rPr>
                <w:rFonts w:ascii="Arial" w:hAnsi="Arial"/>
                <w:b/>
                <w:color w:val="FFFFFF"/>
                <w:sz w:val="17"/>
              </w:rPr>
              <w:t>Conținut de completat</w:t>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Motivul accesului</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Diagnostice / ipoteze</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Substanțe / comportamente</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Ultima utilizare</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Istoric de sevraj / supradoză</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Risc suicidar / violent</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Comorbidități medicale</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Comorbidități psihiatrice</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Tratament actual</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Locuire și mediu</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Persoane de sprijin</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Obiectivul pacientului</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Nivel de îngrijire stabilit de</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Eligibilitate</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t>admis / amânat / transferat / acces educațional</w:t>
            </w:r>
          </w:p>
        </w:tc>
      </w:tr>
    </w:tbl>
    <w:p>
      <w:pPr>
        <w:spacing w:after="20"/>
      </w:pPr>
    </w:p>
    <w:p>
      <w:pPr>
        <w:pStyle w:val="Heading1"/>
        <w:keepNext/>
      </w:pPr>
      <w:r>
        <w:t>ANEXA B. Poarta clinică de siguranță</w:t>
      </w:r>
    </w:p>
    <w:p>
      <w:pPr>
        <w:pStyle w:val="ListBullet"/>
        <w:spacing w:after="52"/>
      </w:pPr>
      <w:r>
        <w:t>Semne de supradoză sau intoxicație severă?</w:t>
      </w:r>
    </w:p>
    <w:p>
      <w:pPr>
        <w:pStyle w:val="ListBullet"/>
        <w:spacing w:after="52"/>
      </w:pPr>
      <w:r>
        <w:t>Risc de sevraj sever, convulsii sau delir?</w:t>
      </w:r>
    </w:p>
    <w:p>
      <w:pPr>
        <w:pStyle w:val="ListBullet"/>
        <w:spacing w:after="52"/>
      </w:pPr>
      <w:r>
        <w:t>Idei suicidare cu intenție, plan sau mijloace?</w:t>
      </w:r>
    </w:p>
    <w:p>
      <w:pPr>
        <w:pStyle w:val="ListBullet"/>
        <w:spacing w:after="52"/>
      </w:pPr>
      <w:r>
        <w:t>Risc de violență sau incapacitate de autoîngrijire?</w:t>
      </w:r>
    </w:p>
    <w:p>
      <w:pPr>
        <w:pStyle w:val="ListBullet"/>
        <w:spacing w:after="52"/>
      </w:pPr>
      <w:r>
        <w:t>Psihoză, manie severă, confuzie sau deteriorare cognitivă acută?</w:t>
      </w:r>
    </w:p>
    <w:p>
      <w:pPr>
        <w:pStyle w:val="ListBullet"/>
        <w:spacing w:after="52"/>
      </w:pPr>
      <w:r>
        <w:t>Sarcină, boală somatică instabilă sau nevoie de evaluare medicală?</w:t>
      </w:r>
    </w:p>
    <w:p>
      <w:pPr>
        <w:pStyle w:val="ListBullet"/>
        <w:spacing w:after="52"/>
      </w:pPr>
      <w:r>
        <w:t>Mediu nesigur, violență domestică sau risc pentru copii?</w:t>
      </w:r>
    </w:p>
    <w:p>
      <w:pPr>
        <w:spacing w:after="70"/>
      </w:pPr>
      <w:r>
        <w:rPr>
          <w:i w:val="0"/>
        </w:rPr>
        <w:t>Rezultat: ☐ fără semnal acut  ☐ contact prompt  ☐ evaluare în aceeași zi  ☐ urgență/transfer</w:t>
      </w:r>
    </w:p>
    <w:p>
      <w:pPr>
        <w:pStyle w:val="Heading1"/>
        <w:keepNext/>
      </w:pPr>
      <w:r>
        <w:t>ANEXA C. Harta clinică a celor șapte cărări</w:t>
      </w:r>
    </w:p>
    <w:tbl>
      <w:tblPr>
        <w:tblStyle w:val="TableGrid"/>
        <w:tblW w:type="auto" w:w="0"/>
        <w:jc w:val="center"/>
        <w:tblLayout w:type="fixed"/>
        <w:tblLook w:firstColumn="1" w:firstRow="1" w:lastColumn="0" w:lastRow="0" w:noHBand="0" w:noVBand="1" w:val="04A0"/>
      </w:tblPr>
      <w:tblGrid>
        <w:gridCol w:w="1606"/>
        <w:gridCol w:w="1606"/>
        <w:gridCol w:w="1606"/>
        <w:gridCol w:w="1606"/>
        <w:gridCol w:w="1606"/>
        <w:gridCol w:w="1606"/>
      </w:tblGrid>
      <w:tr>
        <w:trPr>
          <w:tblHeader w:val="true"/>
        </w:trPr>
        <w:tc>
          <w:tcPr>
            <w:tcW w:type="dxa" w:w="1814"/>
            <w:shd w:fill="17324D"/>
            <w:tcMar>
              <w:top w:w="85" w:type="dxa"/>
              <w:start w:w="90" w:type="dxa"/>
              <w:bottom w:w="85" w:type="dxa"/>
              <w:end w:w="90" w:type="dxa"/>
            </w:tcMar>
            <w:vAlign w:val="top"/>
          </w:tcPr>
          <w:p>
            <w:pPr>
              <w:spacing w:line="240" w:lineRule="auto"/>
            </w:pPr>
            <w:r>
              <w:rPr>
                <w:rFonts w:ascii="Arial" w:hAnsi="Arial"/>
                <w:b/>
                <w:color w:val="FFFFFF"/>
                <w:sz w:val="16"/>
              </w:rPr>
              <w:t>Cărare</w:t>
            </w:r>
          </w:p>
        </w:tc>
        <w:tc>
          <w:tcPr>
            <w:tcW w:type="dxa" w:w="1134"/>
            <w:shd w:fill="17324D"/>
            <w:tcMar>
              <w:top w:w="85" w:type="dxa"/>
              <w:start w:w="90" w:type="dxa"/>
              <w:bottom w:w="85" w:type="dxa"/>
              <w:end w:w="90" w:type="dxa"/>
            </w:tcMar>
            <w:vAlign w:val="top"/>
          </w:tcPr>
          <w:p>
            <w:pPr>
              <w:spacing w:line="240" w:lineRule="auto"/>
            </w:pPr>
            <w:r>
              <w:rPr>
                <w:rFonts w:ascii="Arial" w:hAnsi="Arial"/>
                <w:b/>
                <w:color w:val="FFFFFF"/>
                <w:sz w:val="16"/>
              </w:rPr>
              <w:t>Nevoie</w:t>
            </w:r>
          </w:p>
        </w:tc>
        <w:tc>
          <w:tcPr>
            <w:tcW w:type="dxa" w:w="1134"/>
            <w:shd w:fill="17324D"/>
            <w:tcMar>
              <w:top w:w="85" w:type="dxa"/>
              <w:start w:w="90" w:type="dxa"/>
              <w:bottom w:w="85" w:type="dxa"/>
              <w:end w:w="90" w:type="dxa"/>
            </w:tcMar>
            <w:vAlign w:val="top"/>
          </w:tcPr>
          <w:p>
            <w:pPr>
              <w:spacing w:line="240" w:lineRule="auto"/>
            </w:pPr>
            <w:r>
              <w:rPr>
                <w:rFonts w:ascii="Arial" w:hAnsi="Arial"/>
                <w:b/>
                <w:color w:val="FFFFFF"/>
                <w:sz w:val="16"/>
              </w:rPr>
              <w:t>Interes</w:t>
            </w:r>
          </w:p>
        </w:tc>
        <w:tc>
          <w:tcPr>
            <w:tcW w:type="dxa" w:w="1247"/>
            <w:shd w:fill="17324D"/>
            <w:tcMar>
              <w:top w:w="85" w:type="dxa"/>
              <w:start w:w="90" w:type="dxa"/>
              <w:bottom w:w="85" w:type="dxa"/>
              <w:end w:w="90" w:type="dxa"/>
            </w:tcMar>
            <w:vAlign w:val="top"/>
          </w:tcPr>
          <w:p>
            <w:pPr>
              <w:spacing w:line="240" w:lineRule="auto"/>
            </w:pPr>
            <w:r>
              <w:rPr>
                <w:rFonts w:ascii="Arial" w:hAnsi="Arial"/>
                <w:b/>
                <w:color w:val="FFFFFF"/>
                <w:sz w:val="16"/>
              </w:rPr>
              <w:t>Resurse</w:t>
            </w:r>
          </w:p>
        </w:tc>
        <w:tc>
          <w:tcPr>
            <w:tcW w:type="dxa" w:w="1361"/>
            <w:shd w:fill="17324D"/>
            <w:tcMar>
              <w:top w:w="85" w:type="dxa"/>
              <w:start w:w="90" w:type="dxa"/>
              <w:bottom w:w="85" w:type="dxa"/>
              <w:end w:w="90" w:type="dxa"/>
            </w:tcMar>
            <w:vAlign w:val="top"/>
          </w:tcPr>
          <w:p>
            <w:pPr>
              <w:spacing w:line="240" w:lineRule="auto"/>
            </w:pPr>
            <w:r>
              <w:rPr>
                <w:rFonts w:ascii="Arial" w:hAnsi="Arial"/>
                <w:b/>
                <w:color w:val="FFFFFF"/>
                <w:sz w:val="16"/>
              </w:rPr>
              <w:t>Fezabilitate</w:t>
            </w:r>
          </w:p>
        </w:tc>
        <w:tc>
          <w:tcPr>
            <w:tcW w:type="dxa" w:w="2721"/>
            <w:shd w:fill="17324D"/>
            <w:tcMar>
              <w:top w:w="85" w:type="dxa"/>
              <w:start w:w="90" w:type="dxa"/>
              <w:bottom w:w="85" w:type="dxa"/>
              <w:end w:w="90" w:type="dxa"/>
            </w:tcMar>
            <w:vAlign w:val="top"/>
          </w:tcPr>
          <w:p>
            <w:pPr>
              <w:spacing w:line="240" w:lineRule="auto"/>
            </w:pPr>
            <w:r>
              <w:rPr>
                <w:rFonts w:ascii="Arial" w:hAnsi="Arial"/>
                <w:b/>
                <w:color w:val="FFFFFF"/>
                <w:sz w:val="16"/>
              </w:rPr>
              <w:t>Observații</w:t>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Medicală</w:t>
            </w:r>
          </w:p>
        </w:tc>
        <w:tc>
          <w:tcPr>
            <w:tcW w:type="dxa" w:w="1134"/>
            <w:tcMar>
              <w:top w:w="70" w:type="dxa"/>
              <w:start w:w="75" w:type="dxa"/>
              <w:bottom w:w="70" w:type="dxa"/>
              <w:end w:w="75" w:type="dxa"/>
            </w:tcMar>
            <w:vAlign w:val="top"/>
          </w:tcPr>
          <w:p>
            <w:pPr>
              <w:spacing w:after="0" w:line="240" w:lineRule="auto"/>
            </w:pPr>
            <w:r>
              <w:rPr>
                <w:rFonts w:ascii="Arial" w:hAnsi="Arial"/>
                <w:b w:val="0"/>
                <w:sz w:val="16"/>
              </w:rPr>
            </w:r>
          </w:p>
        </w:tc>
        <w:tc>
          <w:tcPr>
            <w:tcW w:type="dxa" w:w="1134"/>
            <w:tcMar>
              <w:top w:w="70" w:type="dxa"/>
              <w:start w:w="75" w:type="dxa"/>
              <w:bottom w:w="70" w:type="dxa"/>
              <w:end w:w="75" w:type="dxa"/>
            </w:tcMar>
            <w:vAlign w:val="top"/>
          </w:tcPr>
          <w:p>
            <w:pPr>
              <w:spacing w:after="0" w:line="240" w:lineRule="auto"/>
            </w:pPr>
            <w:r>
              <w:rPr>
                <w:rFonts w:ascii="Arial" w:hAnsi="Arial"/>
                <w:b w:val="0"/>
                <w:sz w:val="16"/>
              </w:rPr>
            </w:r>
          </w:p>
        </w:tc>
        <w:tc>
          <w:tcPr>
            <w:tcW w:type="dxa" w:w="1247"/>
            <w:tcMar>
              <w:top w:w="70" w:type="dxa"/>
              <w:start w:w="75" w:type="dxa"/>
              <w:bottom w:w="70" w:type="dxa"/>
              <w:end w:w="75" w:type="dxa"/>
            </w:tcMar>
            <w:vAlign w:val="top"/>
          </w:tcPr>
          <w:p>
            <w:pPr>
              <w:spacing w:after="0" w:line="240" w:lineRule="auto"/>
            </w:pPr>
            <w:r>
              <w:rPr>
                <w:rFonts w:ascii="Arial" w:hAnsi="Arial"/>
                <w:b w:val="0"/>
                <w:sz w:val="16"/>
              </w:rPr>
            </w:r>
          </w:p>
        </w:tc>
        <w:tc>
          <w:tcPr>
            <w:tcW w:type="dxa" w:w="1361"/>
            <w:tcMar>
              <w:top w:w="70" w:type="dxa"/>
              <w:start w:w="75" w:type="dxa"/>
              <w:bottom w:w="70" w:type="dxa"/>
              <w:end w:w="75" w:type="dxa"/>
            </w:tcMar>
            <w:vAlign w:val="top"/>
          </w:tcPr>
          <w:p>
            <w:pPr>
              <w:spacing w:after="0" w:line="240" w:lineRule="auto"/>
            </w:pPr>
            <w:r>
              <w:rPr>
                <w:rFonts w:ascii="Arial" w:hAnsi="Arial"/>
                <w:b w:val="0"/>
                <w:sz w:val="16"/>
              </w:rPr>
            </w:r>
          </w:p>
        </w:tc>
        <w:tc>
          <w:tcPr>
            <w:tcW w:type="dxa" w:w="2721"/>
            <w:tcMar>
              <w:top w:w="70" w:type="dxa"/>
              <w:start w:w="75" w:type="dxa"/>
              <w:bottom w:w="70" w:type="dxa"/>
              <w:end w:w="75" w:type="dxa"/>
            </w:tcMar>
            <w:vAlign w:val="top"/>
          </w:tcPr>
          <w:p>
            <w:pPr>
              <w:spacing w:after="0" w:line="240" w:lineRule="auto"/>
            </w:pPr>
            <w:r>
              <w:rPr>
                <w:rFonts w:ascii="Arial" w:hAnsi="Arial"/>
                <w:b w:val="0"/>
                <w:sz w:val="16"/>
              </w:rPr>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Înțelegerea de sine</w:t>
            </w:r>
          </w:p>
        </w:tc>
        <w:tc>
          <w:tcPr>
            <w:tcW w:type="dxa" w:w="1134"/>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134"/>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247"/>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361"/>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2721"/>
            <w:tcMar>
              <w:top w:w="70" w:type="dxa"/>
              <w:start w:w="75" w:type="dxa"/>
              <w:bottom w:w="70" w:type="dxa"/>
              <w:end w:w="75" w:type="dxa"/>
            </w:tcMar>
            <w:vAlign w:val="top"/>
            <w:shd w:fill="F9FBFC"/>
          </w:tcPr>
          <w:p>
            <w:pPr>
              <w:spacing w:after="0" w:line="240" w:lineRule="auto"/>
            </w:pPr>
            <w:r>
              <w:rPr>
                <w:rFonts w:ascii="Arial" w:hAnsi="Arial"/>
                <w:b w:val="0"/>
                <w:sz w:val="16"/>
              </w:rPr>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Comunitatea</w:t>
            </w:r>
          </w:p>
        </w:tc>
        <w:tc>
          <w:tcPr>
            <w:tcW w:type="dxa" w:w="1134"/>
            <w:tcMar>
              <w:top w:w="70" w:type="dxa"/>
              <w:start w:w="75" w:type="dxa"/>
              <w:bottom w:w="70" w:type="dxa"/>
              <w:end w:w="75" w:type="dxa"/>
            </w:tcMar>
            <w:vAlign w:val="top"/>
          </w:tcPr>
          <w:p>
            <w:pPr>
              <w:spacing w:after="0" w:line="240" w:lineRule="auto"/>
            </w:pPr>
            <w:r>
              <w:rPr>
                <w:rFonts w:ascii="Arial" w:hAnsi="Arial"/>
                <w:b w:val="0"/>
                <w:sz w:val="16"/>
              </w:rPr>
            </w:r>
          </w:p>
        </w:tc>
        <w:tc>
          <w:tcPr>
            <w:tcW w:type="dxa" w:w="1134"/>
            <w:tcMar>
              <w:top w:w="70" w:type="dxa"/>
              <w:start w:w="75" w:type="dxa"/>
              <w:bottom w:w="70" w:type="dxa"/>
              <w:end w:w="75" w:type="dxa"/>
            </w:tcMar>
            <w:vAlign w:val="top"/>
          </w:tcPr>
          <w:p>
            <w:pPr>
              <w:spacing w:after="0" w:line="240" w:lineRule="auto"/>
            </w:pPr>
            <w:r>
              <w:rPr>
                <w:rFonts w:ascii="Arial" w:hAnsi="Arial"/>
                <w:b w:val="0"/>
                <w:sz w:val="16"/>
              </w:rPr>
            </w:r>
          </w:p>
        </w:tc>
        <w:tc>
          <w:tcPr>
            <w:tcW w:type="dxa" w:w="1247"/>
            <w:tcMar>
              <w:top w:w="70" w:type="dxa"/>
              <w:start w:w="75" w:type="dxa"/>
              <w:bottom w:w="70" w:type="dxa"/>
              <w:end w:w="75" w:type="dxa"/>
            </w:tcMar>
            <w:vAlign w:val="top"/>
          </w:tcPr>
          <w:p>
            <w:pPr>
              <w:spacing w:after="0" w:line="240" w:lineRule="auto"/>
            </w:pPr>
            <w:r>
              <w:rPr>
                <w:rFonts w:ascii="Arial" w:hAnsi="Arial"/>
                <w:b w:val="0"/>
                <w:sz w:val="16"/>
              </w:rPr>
            </w:r>
          </w:p>
        </w:tc>
        <w:tc>
          <w:tcPr>
            <w:tcW w:type="dxa" w:w="1361"/>
            <w:tcMar>
              <w:top w:w="70" w:type="dxa"/>
              <w:start w:w="75" w:type="dxa"/>
              <w:bottom w:w="70" w:type="dxa"/>
              <w:end w:w="75" w:type="dxa"/>
            </w:tcMar>
            <w:vAlign w:val="top"/>
          </w:tcPr>
          <w:p>
            <w:pPr>
              <w:spacing w:after="0" w:line="240" w:lineRule="auto"/>
            </w:pPr>
            <w:r>
              <w:rPr>
                <w:rFonts w:ascii="Arial" w:hAnsi="Arial"/>
                <w:b w:val="0"/>
                <w:sz w:val="16"/>
              </w:rPr>
            </w:r>
          </w:p>
        </w:tc>
        <w:tc>
          <w:tcPr>
            <w:tcW w:type="dxa" w:w="2721"/>
            <w:tcMar>
              <w:top w:w="70" w:type="dxa"/>
              <w:start w:w="75" w:type="dxa"/>
              <w:bottom w:w="70" w:type="dxa"/>
              <w:end w:w="75" w:type="dxa"/>
            </w:tcMar>
            <w:vAlign w:val="top"/>
          </w:tcPr>
          <w:p>
            <w:pPr>
              <w:spacing w:after="0" w:line="240" w:lineRule="auto"/>
            </w:pPr>
            <w:r>
              <w:rPr>
                <w:rFonts w:ascii="Arial" w:hAnsi="Arial"/>
                <w:b w:val="0"/>
                <w:sz w:val="16"/>
              </w:rPr>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Spirituală</w:t>
            </w:r>
          </w:p>
        </w:tc>
        <w:tc>
          <w:tcPr>
            <w:tcW w:type="dxa" w:w="1134"/>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134"/>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247"/>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361"/>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2721"/>
            <w:tcMar>
              <w:top w:w="70" w:type="dxa"/>
              <w:start w:w="75" w:type="dxa"/>
              <w:bottom w:w="70" w:type="dxa"/>
              <w:end w:w="75" w:type="dxa"/>
            </w:tcMar>
            <w:vAlign w:val="top"/>
            <w:shd w:fill="F9FBFC"/>
          </w:tcPr>
          <w:p>
            <w:pPr>
              <w:spacing w:after="0" w:line="240" w:lineRule="auto"/>
            </w:pPr>
            <w:r>
              <w:rPr>
                <w:rFonts w:ascii="Arial" w:hAnsi="Arial"/>
                <w:b w:val="0"/>
                <w:sz w:val="16"/>
              </w:rPr>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Corpul și ritmul</w:t>
            </w:r>
          </w:p>
        </w:tc>
        <w:tc>
          <w:tcPr>
            <w:tcW w:type="dxa" w:w="1134"/>
            <w:tcMar>
              <w:top w:w="70" w:type="dxa"/>
              <w:start w:w="75" w:type="dxa"/>
              <w:bottom w:w="70" w:type="dxa"/>
              <w:end w:w="75" w:type="dxa"/>
            </w:tcMar>
            <w:vAlign w:val="top"/>
          </w:tcPr>
          <w:p>
            <w:pPr>
              <w:spacing w:after="0" w:line="240" w:lineRule="auto"/>
            </w:pPr>
            <w:r>
              <w:rPr>
                <w:rFonts w:ascii="Arial" w:hAnsi="Arial"/>
                <w:b w:val="0"/>
                <w:sz w:val="16"/>
              </w:rPr>
            </w:r>
          </w:p>
        </w:tc>
        <w:tc>
          <w:tcPr>
            <w:tcW w:type="dxa" w:w="1134"/>
            <w:tcMar>
              <w:top w:w="70" w:type="dxa"/>
              <w:start w:w="75" w:type="dxa"/>
              <w:bottom w:w="70" w:type="dxa"/>
              <w:end w:w="75" w:type="dxa"/>
            </w:tcMar>
            <w:vAlign w:val="top"/>
          </w:tcPr>
          <w:p>
            <w:pPr>
              <w:spacing w:after="0" w:line="240" w:lineRule="auto"/>
            </w:pPr>
            <w:r>
              <w:rPr>
                <w:rFonts w:ascii="Arial" w:hAnsi="Arial"/>
                <w:b w:val="0"/>
                <w:sz w:val="16"/>
              </w:rPr>
            </w:r>
          </w:p>
        </w:tc>
        <w:tc>
          <w:tcPr>
            <w:tcW w:type="dxa" w:w="1247"/>
            <w:tcMar>
              <w:top w:w="70" w:type="dxa"/>
              <w:start w:w="75" w:type="dxa"/>
              <w:bottom w:w="70" w:type="dxa"/>
              <w:end w:w="75" w:type="dxa"/>
            </w:tcMar>
            <w:vAlign w:val="top"/>
          </w:tcPr>
          <w:p>
            <w:pPr>
              <w:spacing w:after="0" w:line="240" w:lineRule="auto"/>
            </w:pPr>
            <w:r>
              <w:rPr>
                <w:rFonts w:ascii="Arial" w:hAnsi="Arial"/>
                <w:b w:val="0"/>
                <w:sz w:val="16"/>
              </w:rPr>
            </w:r>
          </w:p>
        </w:tc>
        <w:tc>
          <w:tcPr>
            <w:tcW w:type="dxa" w:w="1361"/>
            <w:tcMar>
              <w:top w:w="70" w:type="dxa"/>
              <w:start w:w="75" w:type="dxa"/>
              <w:bottom w:w="70" w:type="dxa"/>
              <w:end w:w="75" w:type="dxa"/>
            </w:tcMar>
            <w:vAlign w:val="top"/>
          </w:tcPr>
          <w:p>
            <w:pPr>
              <w:spacing w:after="0" w:line="240" w:lineRule="auto"/>
            </w:pPr>
            <w:r>
              <w:rPr>
                <w:rFonts w:ascii="Arial" w:hAnsi="Arial"/>
                <w:b w:val="0"/>
                <w:sz w:val="16"/>
              </w:rPr>
            </w:r>
          </w:p>
        </w:tc>
        <w:tc>
          <w:tcPr>
            <w:tcW w:type="dxa" w:w="2721"/>
            <w:tcMar>
              <w:top w:w="70" w:type="dxa"/>
              <w:start w:w="75" w:type="dxa"/>
              <w:bottom w:w="70" w:type="dxa"/>
              <w:end w:w="75" w:type="dxa"/>
            </w:tcMar>
            <w:vAlign w:val="top"/>
          </w:tcPr>
          <w:p>
            <w:pPr>
              <w:spacing w:after="0" w:line="240" w:lineRule="auto"/>
            </w:pPr>
            <w:r>
              <w:rPr>
                <w:rFonts w:ascii="Arial" w:hAnsi="Arial"/>
                <w:b w:val="0"/>
                <w:sz w:val="16"/>
              </w:rPr>
            </w:r>
          </w:p>
        </w:tc>
      </w:tr>
      <w:tr>
        <w:tc>
          <w:tcPr>
            <w:tcW w:type="dxa" w:w="1814"/>
            <w:tcMar>
              <w:top w:w="70" w:type="dxa"/>
              <w:start w:w="75" w:type="dxa"/>
              <w:bottom w:w="70" w:type="dxa"/>
              <w:end w:w="75" w:type="dxa"/>
            </w:tcMar>
            <w:vAlign w:val="top"/>
            <w:shd w:fill="F9FBFC"/>
          </w:tcPr>
          <w:p>
            <w:pPr>
              <w:spacing w:after="0" w:line="240" w:lineRule="auto"/>
            </w:pPr>
            <w:r>
              <w:rPr>
                <w:rFonts w:ascii="Arial" w:hAnsi="Arial"/>
                <w:b/>
                <w:sz w:val="16"/>
              </w:rPr>
              <w:t>Creația și rostul</w:t>
            </w:r>
          </w:p>
        </w:tc>
        <w:tc>
          <w:tcPr>
            <w:tcW w:type="dxa" w:w="1134"/>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134"/>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247"/>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1361"/>
            <w:tcMar>
              <w:top w:w="70" w:type="dxa"/>
              <w:start w:w="75" w:type="dxa"/>
              <w:bottom w:w="70" w:type="dxa"/>
              <w:end w:w="75" w:type="dxa"/>
            </w:tcMar>
            <w:vAlign w:val="top"/>
            <w:shd w:fill="F9FBFC"/>
          </w:tcPr>
          <w:p>
            <w:pPr>
              <w:spacing w:after="0" w:line="240" w:lineRule="auto"/>
            </w:pPr>
            <w:r>
              <w:rPr>
                <w:rFonts w:ascii="Arial" w:hAnsi="Arial"/>
                <w:b w:val="0"/>
                <w:sz w:val="16"/>
              </w:rPr>
            </w:r>
          </w:p>
        </w:tc>
        <w:tc>
          <w:tcPr>
            <w:tcW w:type="dxa" w:w="2721"/>
            <w:tcMar>
              <w:top w:w="70" w:type="dxa"/>
              <w:start w:w="75" w:type="dxa"/>
              <w:bottom w:w="70" w:type="dxa"/>
              <w:end w:w="75" w:type="dxa"/>
            </w:tcMar>
            <w:vAlign w:val="top"/>
            <w:shd w:fill="F9FBFC"/>
          </w:tcPr>
          <w:p>
            <w:pPr>
              <w:spacing w:after="0" w:line="240" w:lineRule="auto"/>
            </w:pPr>
            <w:r>
              <w:rPr>
                <w:rFonts w:ascii="Arial" w:hAnsi="Arial"/>
                <w:b w:val="0"/>
                <w:sz w:val="16"/>
              </w:rPr>
            </w:r>
          </w:p>
        </w:tc>
      </w:tr>
      <w:tr>
        <w:tc>
          <w:tcPr>
            <w:tcW w:type="dxa" w:w="1814"/>
            <w:tcMar>
              <w:top w:w="70" w:type="dxa"/>
              <w:start w:w="75" w:type="dxa"/>
              <w:bottom w:w="70" w:type="dxa"/>
              <w:end w:w="75" w:type="dxa"/>
            </w:tcMar>
            <w:vAlign w:val="top"/>
          </w:tcPr>
          <w:p>
            <w:pPr>
              <w:spacing w:after="0" w:line="240" w:lineRule="auto"/>
            </w:pPr>
            <w:r>
              <w:rPr>
                <w:rFonts w:ascii="Arial" w:hAnsi="Arial"/>
                <w:b/>
                <w:sz w:val="16"/>
              </w:rPr>
              <w:t>Reconstrucția</w:t>
            </w:r>
          </w:p>
        </w:tc>
        <w:tc>
          <w:tcPr>
            <w:tcW w:type="dxa" w:w="1134"/>
            <w:tcMar>
              <w:top w:w="70" w:type="dxa"/>
              <w:start w:w="75" w:type="dxa"/>
              <w:bottom w:w="70" w:type="dxa"/>
              <w:end w:w="75" w:type="dxa"/>
            </w:tcMar>
            <w:vAlign w:val="top"/>
          </w:tcPr>
          <w:p>
            <w:pPr>
              <w:spacing w:after="0" w:line="240" w:lineRule="auto"/>
            </w:pPr>
            <w:r>
              <w:rPr>
                <w:rFonts w:ascii="Arial" w:hAnsi="Arial"/>
                <w:b w:val="0"/>
                <w:sz w:val="16"/>
              </w:rPr>
            </w:r>
          </w:p>
        </w:tc>
        <w:tc>
          <w:tcPr>
            <w:tcW w:type="dxa" w:w="1134"/>
            <w:tcMar>
              <w:top w:w="70" w:type="dxa"/>
              <w:start w:w="75" w:type="dxa"/>
              <w:bottom w:w="70" w:type="dxa"/>
              <w:end w:w="75" w:type="dxa"/>
            </w:tcMar>
            <w:vAlign w:val="top"/>
          </w:tcPr>
          <w:p>
            <w:pPr>
              <w:spacing w:after="0" w:line="240" w:lineRule="auto"/>
            </w:pPr>
            <w:r>
              <w:rPr>
                <w:rFonts w:ascii="Arial" w:hAnsi="Arial"/>
                <w:b w:val="0"/>
                <w:sz w:val="16"/>
              </w:rPr>
            </w:r>
          </w:p>
        </w:tc>
        <w:tc>
          <w:tcPr>
            <w:tcW w:type="dxa" w:w="1247"/>
            <w:tcMar>
              <w:top w:w="70" w:type="dxa"/>
              <w:start w:w="75" w:type="dxa"/>
              <w:bottom w:w="70" w:type="dxa"/>
              <w:end w:w="75" w:type="dxa"/>
            </w:tcMar>
            <w:vAlign w:val="top"/>
          </w:tcPr>
          <w:p>
            <w:pPr>
              <w:spacing w:after="0" w:line="240" w:lineRule="auto"/>
            </w:pPr>
            <w:r>
              <w:rPr>
                <w:rFonts w:ascii="Arial" w:hAnsi="Arial"/>
                <w:b w:val="0"/>
                <w:sz w:val="16"/>
              </w:rPr>
            </w:r>
          </w:p>
        </w:tc>
        <w:tc>
          <w:tcPr>
            <w:tcW w:type="dxa" w:w="1361"/>
            <w:tcMar>
              <w:top w:w="70" w:type="dxa"/>
              <w:start w:w="75" w:type="dxa"/>
              <w:bottom w:w="70" w:type="dxa"/>
              <w:end w:w="75" w:type="dxa"/>
            </w:tcMar>
            <w:vAlign w:val="top"/>
          </w:tcPr>
          <w:p>
            <w:pPr>
              <w:spacing w:after="0" w:line="240" w:lineRule="auto"/>
            </w:pPr>
            <w:r>
              <w:rPr>
                <w:rFonts w:ascii="Arial" w:hAnsi="Arial"/>
                <w:b w:val="0"/>
                <w:sz w:val="16"/>
              </w:rPr>
            </w:r>
          </w:p>
        </w:tc>
        <w:tc>
          <w:tcPr>
            <w:tcW w:type="dxa" w:w="2721"/>
            <w:tcMar>
              <w:top w:w="70" w:type="dxa"/>
              <w:start w:w="75" w:type="dxa"/>
              <w:bottom w:w="70" w:type="dxa"/>
              <w:end w:w="75" w:type="dxa"/>
            </w:tcMar>
            <w:vAlign w:val="top"/>
          </w:tcPr>
          <w:p>
            <w:pPr>
              <w:spacing w:after="0" w:line="240" w:lineRule="auto"/>
            </w:pPr>
            <w:r>
              <w:rPr>
                <w:rFonts w:ascii="Arial" w:hAnsi="Arial"/>
                <w:b w:val="0"/>
                <w:sz w:val="16"/>
              </w:rPr>
            </w:r>
          </w:p>
        </w:tc>
      </w:tr>
    </w:tbl>
    <w:p>
      <w:pPr>
        <w:spacing w:after="20"/>
      </w:pPr>
    </w:p>
    <w:p>
      <w:pPr>
        <w:spacing w:after="70"/>
      </w:pPr>
      <w:r>
        <w:rPr>
          <w:i w:val="0"/>
        </w:rPr>
        <w:t>Cărare principală: ____________________  Cărări de sprijin: ____________________  Data reevaluării: ____________</w:t>
      </w:r>
    </w:p>
    <w:p>
      <w:pPr>
        <w:pStyle w:val="Heading1"/>
        <w:keepNext/>
      </w:pPr>
      <w:r>
        <w:t>ANEXA D. Planul de șapte zile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948"/>
            <w:shd w:fill="17324D"/>
            <w:tcMar>
              <w:top w:w="85" w:type="dxa"/>
              <w:start w:w="90" w:type="dxa"/>
              <w:bottom w:w="85" w:type="dxa"/>
              <w:end w:w="90" w:type="dxa"/>
            </w:tcMar>
            <w:vAlign w:val="top"/>
          </w:tcPr>
          <w:p>
            <w:pPr>
              <w:spacing w:line="240" w:lineRule="auto"/>
            </w:pPr>
            <w:r>
              <w:rPr>
                <w:rFonts w:ascii="Arial" w:hAnsi="Arial"/>
                <w:b/>
                <w:color w:val="FFFFFF"/>
                <w:sz w:val="17"/>
              </w:rPr>
              <w:t>Element</w:t>
            </w:r>
          </w:p>
        </w:tc>
        <w:tc>
          <w:tcPr>
            <w:tcW w:type="dxa" w:w="6463"/>
            <w:shd w:fill="17324D"/>
            <w:tcMar>
              <w:top w:w="85" w:type="dxa"/>
              <w:start w:w="90" w:type="dxa"/>
              <w:bottom w:w="85" w:type="dxa"/>
              <w:end w:w="90" w:type="dxa"/>
            </w:tcMar>
            <w:vAlign w:val="top"/>
          </w:tcPr>
          <w:p>
            <w:pPr>
              <w:spacing w:line="240" w:lineRule="auto"/>
            </w:pPr>
            <w:r>
              <w:rPr>
                <w:rFonts w:ascii="Arial" w:hAnsi="Arial"/>
                <w:b/>
                <w:color w:val="FFFFFF"/>
                <w:sz w:val="17"/>
              </w:rPr>
              <w:t>Plan</w:t>
            </w:r>
          </w:p>
        </w:tc>
      </w:tr>
      <w:tr>
        <w:tc>
          <w:tcPr>
            <w:tcW w:type="dxa" w:w="2948"/>
            <w:tcMar>
              <w:top w:w="70" w:type="dxa"/>
              <w:start w:w="75" w:type="dxa"/>
              <w:bottom w:w="70" w:type="dxa"/>
              <w:end w:w="75" w:type="dxa"/>
            </w:tcMar>
            <w:vAlign w:val="top"/>
          </w:tcPr>
          <w:p>
            <w:pPr>
              <w:spacing w:after="0" w:line="240" w:lineRule="auto"/>
            </w:pPr>
            <w:r>
              <w:rPr>
                <w:rFonts w:ascii="Arial" w:hAnsi="Arial"/>
                <w:b/>
                <w:sz w:val="17"/>
              </w:rPr>
              <w:t>Obiectiv 1</w:t>
            </w:r>
          </w:p>
        </w:tc>
        <w:tc>
          <w:tcPr>
            <w:tcW w:type="dxa" w:w="646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2948"/>
            <w:tcMar>
              <w:top w:w="70" w:type="dxa"/>
              <w:start w:w="75" w:type="dxa"/>
              <w:bottom w:w="70" w:type="dxa"/>
              <w:end w:w="75" w:type="dxa"/>
            </w:tcMar>
            <w:vAlign w:val="top"/>
            <w:shd w:fill="F9FBFC"/>
          </w:tcPr>
          <w:p>
            <w:pPr>
              <w:spacing w:after="0" w:line="240" w:lineRule="auto"/>
            </w:pPr>
            <w:r>
              <w:rPr>
                <w:rFonts w:ascii="Arial" w:hAnsi="Arial"/>
                <w:b/>
                <w:sz w:val="17"/>
              </w:rPr>
              <w:t>Când / unde / cu cine</w:t>
            </w:r>
          </w:p>
        </w:tc>
        <w:tc>
          <w:tcPr>
            <w:tcW w:type="dxa" w:w="646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2948"/>
            <w:tcMar>
              <w:top w:w="70" w:type="dxa"/>
              <w:start w:w="75" w:type="dxa"/>
              <w:bottom w:w="70" w:type="dxa"/>
              <w:end w:w="75" w:type="dxa"/>
            </w:tcMar>
            <w:vAlign w:val="top"/>
          </w:tcPr>
          <w:p>
            <w:pPr>
              <w:spacing w:after="0" w:line="240" w:lineRule="auto"/>
            </w:pPr>
            <w:r>
              <w:rPr>
                <w:rFonts w:ascii="Arial" w:hAnsi="Arial"/>
                <w:b/>
                <w:sz w:val="17"/>
              </w:rPr>
              <w:t>Obstacol probabil</w:t>
            </w:r>
          </w:p>
        </w:tc>
        <w:tc>
          <w:tcPr>
            <w:tcW w:type="dxa" w:w="646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2948"/>
            <w:tcMar>
              <w:top w:w="70" w:type="dxa"/>
              <w:start w:w="75" w:type="dxa"/>
              <w:bottom w:w="70" w:type="dxa"/>
              <w:end w:w="75" w:type="dxa"/>
            </w:tcMar>
            <w:vAlign w:val="top"/>
            <w:shd w:fill="F9FBFC"/>
          </w:tcPr>
          <w:p>
            <w:pPr>
              <w:spacing w:after="0" w:line="240" w:lineRule="auto"/>
            </w:pPr>
            <w:r>
              <w:rPr>
                <w:rFonts w:ascii="Arial" w:hAnsi="Arial"/>
                <w:b/>
                <w:sz w:val="17"/>
              </w:rPr>
              <w:t>Plan alternativ</w:t>
            </w:r>
          </w:p>
        </w:tc>
        <w:tc>
          <w:tcPr>
            <w:tcW w:type="dxa" w:w="646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2948"/>
            <w:tcMar>
              <w:top w:w="70" w:type="dxa"/>
              <w:start w:w="75" w:type="dxa"/>
              <w:bottom w:w="70" w:type="dxa"/>
              <w:end w:w="75" w:type="dxa"/>
            </w:tcMar>
            <w:vAlign w:val="top"/>
          </w:tcPr>
          <w:p>
            <w:pPr>
              <w:spacing w:after="0" w:line="240" w:lineRule="auto"/>
            </w:pPr>
            <w:r>
              <w:rPr>
                <w:rFonts w:ascii="Arial" w:hAnsi="Arial"/>
                <w:b/>
                <w:sz w:val="17"/>
              </w:rPr>
              <w:t>Obiectiv 2</w:t>
            </w:r>
          </w:p>
        </w:tc>
        <w:tc>
          <w:tcPr>
            <w:tcW w:type="dxa" w:w="646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2948"/>
            <w:tcMar>
              <w:top w:w="70" w:type="dxa"/>
              <w:start w:w="75" w:type="dxa"/>
              <w:bottom w:w="70" w:type="dxa"/>
              <w:end w:w="75" w:type="dxa"/>
            </w:tcMar>
            <w:vAlign w:val="top"/>
            <w:shd w:fill="F9FBFC"/>
          </w:tcPr>
          <w:p>
            <w:pPr>
              <w:spacing w:after="0" w:line="240" w:lineRule="auto"/>
            </w:pPr>
            <w:r>
              <w:rPr>
                <w:rFonts w:ascii="Arial" w:hAnsi="Arial"/>
                <w:b/>
                <w:sz w:val="17"/>
              </w:rPr>
              <w:t>Obiectiv 3</w:t>
            </w:r>
          </w:p>
        </w:tc>
        <w:tc>
          <w:tcPr>
            <w:tcW w:type="dxa" w:w="646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2948"/>
            <w:tcMar>
              <w:top w:w="70" w:type="dxa"/>
              <w:start w:w="75" w:type="dxa"/>
              <w:bottom w:w="70" w:type="dxa"/>
              <w:end w:w="75" w:type="dxa"/>
            </w:tcMar>
            <w:vAlign w:val="top"/>
          </w:tcPr>
          <w:p>
            <w:pPr>
              <w:spacing w:after="0" w:line="240" w:lineRule="auto"/>
            </w:pPr>
            <w:r>
              <w:rPr>
                <w:rFonts w:ascii="Arial" w:hAnsi="Arial"/>
                <w:b/>
                <w:sz w:val="17"/>
              </w:rPr>
              <w:t>Persoană de sprijin</w:t>
            </w:r>
          </w:p>
        </w:tc>
        <w:tc>
          <w:tcPr>
            <w:tcW w:type="dxa" w:w="646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2948"/>
            <w:tcMar>
              <w:top w:w="70" w:type="dxa"/>
              <w:start w:w="75" w:type="dxa"/>
              <w:bottom w:w="70" w:type="dxa"/>
              <w:end w:w="75" w:type="dxa"/>
            </w:tcMar>
            <w:vAlign w:val="top"/>
            <w:shd w:fill="F9FBFC"/>
          </w:tcPr>
          <w:p>
            <w:pPr>
              <w:spacing w:after="0" w:line="240" w:lineRule="auto"/>
            </w:pPr>
            <w:r>
              <w:rPr>
                <w:rFonts w:ascii="Arial" w:hAnsi="Arial"/>
                <w:b/>
                <w:sz w:val="17"/>
              </w:rPr>
              <w:t>Semne de avertizare</w:t>
            </w:r>
          </w:p>
        </w:tc>
        <w:tc>
          <w:tcPr>
            <w:tcW w:type="dxa" w:w="646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2948"/>
            <w:tcMar>
              <w:top w:w="70" w:type="dxa"/>
              <w:start w:w="75" w:type="dxa"/>
              <w:bottom w:w="70" w:type="dxa"/>
              <w:end w:w="75" w:type="dxa"/>
            </w:tcMar>
            <w:vAlign w:val="top"/>
          </w:tcPr>
          <w:p>
            <w:pPr>
              <w:spacing w:after="0" w:line="240" w:lineRule="auto"/>
            </w:pPr>
            <w:r>
              <w:rPr>
                <w:rFonts w:ascii="Arial" w:hAnsi="Arial"/>
                <w:b/>
                <w:sz w:val="17"/>
              </w:rPr>
              <w:t>Revizuire</w:t>
            </w:r>
          </w:p>
        </w:tc>
        <w:tc>
          <w:tcPr>
            <w:tcW w:type="dxa" w:w="6463"/>
            <w:tcMar>
              <w:top w:w="70" w:type="dxa"/>
              <w:start w:w="75" w:type="dxa"/>
              <w:bottom w:w="70" w:type="dxa"/>
              <w:end w:w="75" w:type="dxa"/>
            </w:tcMar>
            <w:vAlign w:val="top"/>
          </w:tcPr>
          <w:p>
            <w:pPr>
              <w:spacing w:after="0" w:line="240" w:lineRule="auto"/>
            </w:pPr>
            <w:r>
              <w:rPr>
                <w:rFonts w:ascii="Arial" w:hAnsi="Arial"/>
                <w:b w:val="0"/>
                <w:sz w:val="17"/>
              </w:rPr>
            </w:r>
          </w:p>
        </w:tc>
      </w:tr>
    </w:tbl>
    <w:p>
      <w:pPr>
        <w:spacing w:after="20"/>
      </w:pPr>
    </w:p>
    <w:p>
      <w:pPr>
        <w:pStyle w:val="Heading1"/>
        <w:keepNext/>
      </w:pPr>
      <w:r>
        <w:t>ANEXA E. Check-in scurt</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3402"/>
            <w:shd w:fill="17324D"/>
            <w:tcMar>
              <w:top w:w="85" w:type="dxa"/>
              <w:start w:w="90" w:type="dxa"/>
              <w:bottom w:w="85" w:type="dxa"/>
              <w:end w:w="90" w:type="dxa"/>
            </w:tcMar>
            <w:vAlign w:val="top"/>
          </w:tcPr>
          <w:p>
            <w:pPr>
              <w:spacing w:line="240" w:lineRule="auto"/>
            </w:pPr>
            <w:r>
              <w:rPr>
                <w:rFonts w:ascii="Arial" w:hAnsi="Arial"/>
                <w:b/>
                <w:color w:val="FFFFFF"/>
                <w:sz w:val="17"/>
              </w:rPr>
              <w:t>Domeniu</w:t>
            </w:r>
          </w:p>
        </w:tc>
        <w:tc>
          <w:tcPr>
            <w:tcW w:type="dxa" w:w="6009"/>
            <w:shd w:fill="17324D"/>
            <w:tcMar>
              <w:top w:w="85" w:type="dxa"/>
              <w:start w:w="90" w:type="dxa"/>
              <w:bottom w:w="85" w:type="dxa"/>
              <w:end w:w="90" w:type="dxa"/>
            </w:tcMar>
            <w:vAlign w:val="top"/>
          </w:tcPr>
          <w:p>
            <w:pPr>
              <w:spacing w:line="240" w:lineRule="auto"/>
            </w:pPr>
            <w:r>
              <w:rPr>
                <w:rFonts w:ascii="Arial" w:hAnsi="Arial"/>
                <w:b/>
                <w:color w:val="FFFFFF"/>
                <w:sz w:val="17"/>
              </w:rPr>
              <w:t>Răspuns</w:t>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Siguranță imediată</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t>da / nu / nu sunt sigur</w:t>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Consum de la ultimul check-in</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Craving 0–10</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Somn</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Tratament</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t>luat / omis / modificat / nu se aplică</w:t>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Sprijin contactat</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tcPr>
          <w:p>
            <w:pPr>
              <w:spacing w:after="0" w:line="240" w:lineRule="auto"/>
            </w:pPr>
            <w:r>
              <w:rPr>
                <w:rFonts w:ascii="Arial" w:hAnsi="Arial"/>
                <w:b/>
                <w:sz w:val="17"/>
              </w:rPr>
              <w:t>Pasul de astăzi</w:t>
            </w:r>
          </w:p>
        </w:tc>
        <w:tc>
          <w:tcPr>
            <w:tcW w:type="dxa" w:w="6009"/>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402"/>
            <w:tcMar>
              <w:top w:w="70" w:type="dxa"/>
              <w:start w:w="75" w:type="dxa"/>
              <w:bottom w:w="70" w:type="dxa"/>
              <w:end w:w="75" w:type="dxa"/>
            </w:tcMar>
            <w:vAlign w:val="top"/>
            <w:shd w:fill="F9FBFC"/>
          </w:tcPr>
          <w:p>
            <w:pPr>
              <w:spacing w:after="0" w:line="240" w:lineRule="auto"/>
            </w:pPr>
            <w:r>
              <w:rPr>
                <w:rFonts w:ascii="Arial" w:hAnsi="Arial"/>
                <w:b/>
                <w:sz w:val="17"/>
              </w:rPr>
              <w:t>Solicit contact</w:t>
            </w:r>
          </w:p>
        </w:tc>
        <w:tc>
          <w:tcPr>
            <w:tcW w:type="dxa" w:w="6009"/>
            <w:tcMar>
              <w:top w:w="70" w:type="dxa"/>
              <w:start w:w="75" w:type="dxa"/>
              <w:bottom w:w="70" w:type="dxa"/>
              <w:end w:w="75" w:type="dxa"/>
            </w:tcMar>
            <w:vAlign w:val="top"/>
            <w:shd w:fill="F9FBFC"/>
          </w:tcPr>
          <w:p>
            <w:pPr>
              <w:spacing w:after="0" w:line="240" w:lineRule="auto"/>
            </w:pPr>
            <w:r>
              <w:rPr>
                <w:rFonts w:ascii="Arial" w:hAnsi="Arial"/>
                <w:b w:val="0"/>
                <w:sz w:val="17"/>
              </w:rPr>
              <w:t>da / nu</w:t>
            </w:r>
          </w:p>
        </w:tc>
      </w:tr>
    </w:tbl>
    <w:p>
      <w:pPr>
        <w:spacing w:after="20"/>
      </w:pPr>
    </w:p>
    <w:p>
      <w:pPr>
        <w:pStyle w:val="Heading1"/>
        <w:keepNext/>
      </w:pPr>
      <w:r>
        <w:t>ANEXA F. Analiza unei alunecări</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3515"/>
            <w:shd w:fill="17324D"/>
            <w:tcMar>
              <w:top w:w="85" w:type="dxa"/>
              <w:start w:w="90" w:type="dxa"/>
              <w:bottom w:w="85" w:type="dxa"/>
              <w:end w:w="90" w:type="dxa"/>
            </w:tcMar>
            <w:vAlign w:val="top"/>
          </w:tcPr>
          <w:p>
            <w:pPr>
              <w:spacing w:line="240" w:lineRule="auto"/>
            </w:pPr>
            <w:r>
              <w:rPr>
                <w:rFonts w:ascii="Arial" w:hAnsi="Arial"/>
                <w:b/>
                <w:color w:val="FFFFFF"/>
                <w:sz w:val="17"/>
              </w:rPr>
              <w:t>Întrebare</w:t>
            </w:r>
          </w:p>
        </w:tc>
        <w:tc>
          <w:tcPr>
            <w:tcW w:type="dxa" w:w="5896"/>
            <w:shd w:fill="17324D"/>
            <w:tcMar>
              <w:top w:w="85" w:type="dxa"/>
              <w:start w:w="90" w:type="dxa"/>
              <w:bottom w:w="85" w:type="dxa"/>
              <w:end w:w="90" w:type="dxa"/>
            </w:tcMar>
            <w:vAlign w:val="top"/>
          </w:tcPr>
          <w:p>
            <w:pPr>
              <w:spacing w:line="240" w:lineRule="auto"/>
            </w:pPr>
            <w:r>
              <w:rPr>
                <w:rFonts w:ascii="Arial" w:hAnsi="Arial"/>
                <w:b/>
                <w:color w:val="FFFFFF"/>
                <w:sz w:val="17"/>
              </w:rPr>
              <w:t>Răspuns</w:t>
            </w:r>
          </w:p>
        </w:tc>
      </w:tr>
      <w:tr>
        <w:tc>
          <w:tcPr>
            <w:tcW w:type="dxa" w:w="3515"/>
            <w:tcMar>
              <w:top w:w="70" w:type="dxa"/>
              <w:start w:w="75" w:type="dxa"/>
              <w:bottom w:w="70" w:type="dxa"/>
              <w:end w:w="75" w:type="dxa"/>
            </w:tcMar>
            <w:vAlign w:val="top"/>
          </w:tcPr>
          <w:p>
            <w:pPr>
              <w:spacing w:after="0" w:line="240" w:lineRule="auto"/>
            </w:pPr>
            <w:r>
              <w:rPr>
                <w:rFonts w:ascii="Arial" w:hAnsi="Arial"/>
                <w:b/>
                <w:sz w:val="17"/>
              </w:rPr>
              <w:t>Ce s-a întâmplat?</w:t>
            </w:r>
          </w:p>
        </w:tc>
        <w:tc>
          <w:tcPr>
            <w:tcW w:type="dxa" w:w="5896"/>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515"/>
            <w:tcMar>
              <w:top w:w="70" w:type="dxa"/>
              <w:start w:w="75" w:type="dxa"/>
              <w:bottom w:w="70" w:type="dxa"/>
              <w:end w:w="75" w:type="dxa"/>
            </w:tcMar>
            <w:vAlign w:val="top"/>
            <w:shd w:fill="F9FBFC"/>
          </w:tcPr>
          <w:p>
            <w:pPr>
              <w:spacing w:after="0" w:line="240" w:lineRule="auto"/>
            </w:pPr>
            <w:r>
              <w:rPr>
                <w:rFonts w:ascii="Arial" w:hAnsi="Arial"/>
                <w:b/>
                <w:sz w:val="17"/>
              </w:rPr>
              <w:t>Ce ai consumat și când?</w:t>
            </w:r>
          </w:p>
        </w:tc>
        <w:tc>
          <w:tcPr>
            <w:tcW w:type="dxa" w:w="5896"/>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515"/>
            <w:tcMar>
              <w:top w:w="70" w:type="dxa"/>
              <w:start w:w="75" w:type="dxa"/>
              <w:bottom w:w="70" w:type="dxa"/>
              <w:end w:w="75" w:type="dxa"/>
            </w:tcMar>
            <w:vAlign w:val="top"/>
          </w:tcPr>
          <w:p>
            <w:pPr>
              <w:spacing w:after="0" w:line="240" w:lineRule="auto"/>
            </w:pPr>
            <w:r>
              <w:rPr>
                <w:rFonts w:ascii="Arial" w:hAnsi="Arial"/>
                <w:b/>
                <w:sz w:val="17"/>
              </w:rPr>
              <w:t>Există risc medical acum?</w:t>
            </w:r>
          </w:p>
        </w:tc>
        <w:tc>
          <w:tcPr>
            <w:tcW w:type="dxa" w:w="5896"/>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515"/>
            <w:tcMar>
              <w:top w:w="70" w:type="dxa"/>
              <w:start w:w="75" w:type="dxa"/>
              <w:bottom w:w="70" w:type="dxa"/>
              <w:end w:w="75" w:type="dxa"/>
            </w:tcMar>
            <w:vAlign w:val="top"/>
            <w:shd w:fill="F9FBFC"/>
          </w:tcPr>
          <w:p>
            <w:pPr>
              <w:spacing w:after="0" w:line="240" w:lineRule="auto"/>
            </w:pPr>
            <w:r>
              <w:rPr>
                <w:rFonts w:ascii="Arial" w:hAnsi="Arial"/>
                <w:b/>
                <w:sz w:val="17"/>
              </w:rPr>
              <w:t>Ce a precedat episodul?</w:t>
            </w:r>
          </w:p>
        </w:tc>
        <w:tc>
          <w:tcPr>
            <w:tcW w:type="dxa" w:w="5896"/>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515"/>
            <w:tcMar>
              <w:top w:w="70" w:type="dxa"/>
              <w:start w:w="75" w:type="dxa"/>
              <w:bottom w:w="70" w:type="dxa"/>
              <w:end w:w="75" w:type="dxa"/>
            </w:tcMar>
            <w:vAlign w:val="top"/>
          </w:tcPr>
          <w:p>
            <w:pPr>
              <w:spacing w:after="0" w:line="240" w:lineRule="auto"/>
            </w:pPr>
            <w:r>
              <w:rPr>
                <w:rFonts w:ascii="Arial" w:hAnsi="Arial"/>
                <w:b/>
                <w:sz w:val="17"/>
              </w:rPr>
              <w:t>Ce gânduri și emoții au apărut?</w:t>
            </w:r>
          </w:p>
        </w:tc>
        <w:tc>
          <w:tcPr>
            <w:tcW w:type="dxa" w:w="5896"/>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515"/>
            <w:tcMar>
              <w:top w:w="70" w:type="dxa"/>
              <w:start w:w="75" w:type="dxa"/>
              <w:bottom w:w="70" w:type="dxa"/>
              <w:end w:w="75" w:type="dxa"/>
            </w:tcMar>
            <w:vAlign w:val="top"/>
            <w:shd w:fill="F9FBFC"/>
          </w:tcPr>
          <w:p>
            <w:pPr>
              <w:spacing w:after="0" w:line="240" w:lineRule="auto"/>
            </w:pPr>
            <w:r>
              <w:rPr>
                <w:rFonts w:ascii="Arial" w:hAnsi="Arial"/>
                <w:b/>
                <w:sz w:val="17"/>
              </w:rPr>
              <w:t>Ce strategie ai încercat?</w:t>
            </w:r>
          </w:p>
        </w:tc>
        <w:tc>
          <w:tcPr>
            <w:tcW w:type="dxa" w:w="5896"/>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515"/>
            <w:tcMar>
              <w:top w:w="70" w:type="dxa"/>
              <w:start w:w="75" w:type="dxa"/>
              <w:bottom w:w="70" w:type="dxa"/>
              <w:end w:w="75" w:type="dxa"/>
            </w:tcMar>
            <w:vAlign w:val="top"/>
          </w:tcPr>
          <w:p>
            <w:pPr>
              <w:spacing w:after="0" w:line="240" w:lineRule="auto"/>
            </w:pPr>
            <w:r>
              <w:rPr>
                <w:rFonts w:ascii="Arial" w:hAnsi="Arial"/>
                <w:b/>
                <w:sz w:val="17"/>
              </w:rPr>
              <w:t>Ce resursă a lipsit?</w:t>
            </w:r>
          </w:p>
        </w:tc>
        <w:tc>
          <w:tcPr>
            <w:tcW w:type="dxa" w:w="5896"/>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515"/>
            <w:tcMar>
              <w:top w:w="70" w:type="dxa"/>
              <w:start w:w="75" w:type="dxa"/>
              <w:bottom w:w="70" w:type="dxa"/>
              <w:end w:w="75" w:type="dxa"/>
            </w:tcMar>
            <w:vAlign w:val="top"/>
            <w:shd w:fill="F9FBFC"/>
          </w:tcPr>
          <w:p>
            <w:pPr>
              <w:spacing w:after="0" w:line="240" w:lineRule="auto"/>
            </w:pPr>
            <w:r>
              <w:rPr>
                <w:rFonts w:ascii="Arial" w:hAnsi="Arial"/>
                <w:b/>
                <w:sz w:val="17"/>
              </w:rPr>
              <w:t>Ce schimbăm în plan?</w:t>
            </w:r>
          </w:p>
        </w:tc>
        <w:tc>
          <w:tcPr>
            <w:tcW w:type="dxa" w:w="5896"/>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515"/>
            <w:tcMar>
              <w:top w:w="70" w:type="dxa"/>
              <w:start w:w="75" w:type="dxa"/>
              <w:bottom w:w="70" w:type="dxa"/>
              <w:end w:w="75" w:type="dxa"/>
            </w:tcMar>
            <w:vAlign w:val="top"/>
          </w:tcPr>
          <w:p>
            <w:pPr>
              <w:spacing w:after="0" w:line="240" w:lineRule="auto"/>
            </w:pPr>
            <w:r>
              <w:rPr>
                <w:rFonts w:ascii="Arial" w:hAnsi="Arial"/>
                <w:b/>
                <w:sz w:val="17"/>
              </w:rPr>
              <w:t>Următorul contact</w:t>
            </w:r>
          </w:p>
        </w:tc>
        <w:tc>
          <w:tcPr>
            <w:tcW w:type="dxa" w:w="5896"/>
            <w:tcMar>
              <w:top w:w="70" w:type="dxa"/>
              <w:start w:w="75" w:type="dxa"/>
              <w:bottom w:w="70" w:type="dxa"/>
              <w:end w:w="75" w:type="dxa"/>
            </w:tcMar>
            <w:vAlign w:val="top"/>
          </w:tcPr>
          <w:p>
            <w:pPr>
              <w:spacing w:after="0" w:line="240" w:lineRule="auto"/>
            </w:pPr>
            <w:r>
              <w:rPr>
                <w:rFonts w:ascii="Arial" w:hAnsi="Arial"/>
                <w:b w:val="0"/>
                <w:sz w:val="17"/>
              </w:rPr>
            </w:r>
          </w:p>
        </w:tc>
      </w:tr>
    </w:tbl>
    <w:p>
      <w:pPr>
        <w:spacing w:after="20"/>
      </w:pPr>
    </w:p>
    <w:p>
      <w:pPr>
        <w:pStyle w:val="Heading1"/>
        <w:keepNext/>
      </w:pPr>
      <w:r>
        <w:t>ANEXA G. Notă de sesiune de grup</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3118"/>
            <w:shd w:fill="17324D"/>
            <w:tcMar>
              <w:top w:w="85" w:type="dxa"/>
              <w:start w:w="90" w:type="dxa"/>
              <w:bottom w:w="85" w:type="dxa"/>
              <w:end w:w="90" w:type="dxa"/>
            </w:tcMar>
            <w:vAlign w:val="top"/>
          </w:tcPr>
          <w:p>
            <w:pPr>
              <w:spacing w:line="240" w:lineRule="auto"/>
            </w:pPr>
            <w:r>
              <w:rPr>
                <w:rFonts w:ascii="Arial" w:hAnsi="Arial"/>
                <w:b/>
                <w:color w:val="FFFFFF"/>
                <w:sz w:val="17"/>
              </w:rPr>
              <w:t>Câmp</w:t>
            </w:r>
          </w:p>
        </w:tc>
        <w:tc>
          <w:tcPr>
            <w:tcW w:type="dxa" w:w="6293"/>
            <w:shd w:fill="17324D"/>
            <w:tcMar>
              <w:top w:w="85" w:type="dxa"/>
              <w:start w:w="90" w:type="dxa"/>
              <w:bottom w:w="85" w:type="dxa"/>
              <w:end w:w="90" w:type="dxa"/>
            </w:tcMar>
            <w:vAlign w:val="top"/>
          </w:tcPr>
          <w:p>
            <w:pPr>
              <w:spacing w:line="240" w:lineRule="auto"/>
            </w:pPr>
            <w:r>
              <w:rPr>
                <w:rFonts w:ascii="Arial" w:hAnsi="Arial"/>
                <w:b/>
                <w:color w:val="FFFFFF"/>
                <w:sz w:val="17"/>
              </w:rPr>
              <w:t>Conținut</w:t>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Grup / dată / facilitatori</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Tema și obiectivele</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Participanți și prezență</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Activități</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Dinamica generală</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Incidente / risc</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Plan și teme</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Observații individuale</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t>se documentează separat</w:t>
            </w:r>
          </w:p>
        </w:tc>
      </w:tr>
    </w:tbl>
    <w:p>
      <w:pPr>
        <w:spacing w:after="20"/>
      </w:pPr>
    </w:p>
    <w:p>
      <w:pPr>
        <w:pStyle w:val="Heading1"/>
        <w:keepNext/>
      </w:pPr>
      <w:r>
        <w:t>ANEXA H. Rezumat pentru ședința multidisciplinară</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3118"/>
            <w:shd w:fill="17324D"/>
            <w:tcMar>
              <w:top w:w="85" w:type="dxa"/>
              <w:start w:w="90" w:type="dxa"/>
              <w:bottom w:w="85" w:type="dxa"/>
              <w:end w:w="90" w:type="dxa"/>
            </w:tcMar>
            <w:vAlign w:val="top"/>
          </w:tcPr>
          <w:p>
            <w:pPr>
              <w:spacing w:line="240" w:lineRule="auto"/>
            </w:pPr>
            <w:r>
              <w:rPr>
                <w:rFonts w:ascii="Arial" w:hAnsi="Arial"/>
                <w:b/>
                <w:color w:val="FFFFFF"/>
                <w:sz w:val="17"/>
              </w:rPr>
              <w:t>Câmp</w:t>
            </w:r>
          </w:p>
        </w:tc>
        <w:tc>
          <w:tcPr>
            <w:tcW w:type="dxa" w:w="6293"/>
            <w:shd w:fill="17324D"/>
            <w:tcMar>
              <w:top w:w="85" w:type="dxa"/>
              <w:start w:w="90" w:type="dxa"/>
              <w:bottom w:w="85" w:type="dxa"/>
              <w:end w:w="90" w:type="dxa"/>
            </w:tcMar>
            <w:vAlign w:val="top"/>
          </w:tcPr>
          <w:p>
            <w:pPr>
              <w:spacing w:line="240" w:lineRule="auto"/>
            </w:pPr>
            <w:r>
              <w:rPr>
                <w:rFonts w:ascii="Arial" w:hAnsi="Arial"/>
                <w:b/>
                <w:color w:val="FFFFFF"/>
                <w:sz w:val="17"/>
              </w:rPr>
              <w:t>Conținut</w:t>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Status și nivel de îngrijire</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Cărare principală / sprijin</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Progres</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Consum și craving</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Risc</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Tratament și aderență</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Funcționare</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Bariere</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tcPr>
          <w:p>
            <w:pPr>
              <w:spacing w:after="0" w:line="240" w:lineRule="auto"/>
            </w:pPr>
            <w:r>
              <w:rPr>
                <w:rFonts w:ascii="Arial" w:hAnsi="Arial"/>
                <w:b/>
                <w:sz w:val="17"/>
              </w:rPr>
              <w:t>Decizii</w:t>
            </w:r>
          </w:p>
        </w:tc>
        <w:tc>
          <w:tcPr>
            <w:tcW w:type="dxa" w:w="629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118"/>
            <w:tcMar>
              <w:top w:w="70" w:type="dxa"/>
              <w:start w:w="75" w:type="dxa"/>
              <w:bottom w:w="70" w:type="dxa"/>
              <w:end w:w="75" w:type="dxa"/>
            </w:tcMar>
            <w:vAlign w:val="top"/>
            <w:shd w:fill="F9FBFC"/>
          </w:tcPr>
          <w:p>
            <w:pPr>
              <w:spacing w:after="0" w:line="240" w:lineRule="auto"/>
            </w:pPr>
            <w:r>
              <w:rPr>
                <w:rFonts w:ascii="Arial" w:hAnsi="Arial"/>
                <w:b/>
                <w:sz w:val="17"/>
              </w:rPr>
              <w:t>Responsabili și termene</w:t>
            </w:r>
          </w:p>
        </w:tc>
        <w:tc>
          <w:tcPr>
            <w:tcW w:type="dxa" w:w="6293"/>
            <w:tcMar>
              <w:top w:w="70" w:type="dxa"/>
              <w:start w:w="75" w:type="dxa"/>
              <w:bottom w:w="70" w:type="dxa"/>
              <w:end w:w="75" w:type="dxa"/>
            </w:tcMar>
            <w:vAlign w:val="top"/>
            <w:shd w:fill="F9FBFC"/>
          </w:tcPr>
          <w:p>
            <w:pPr>
              <w:spacing w:after="0" w:line="240" w:lineRule="auto"/>
            </w:pPr>
            <w:r>
              <w:rPr>
                <w:rFonts w:ascii="Arial" w:hAnsi="Arial"/>
                <w:b w:val="0"/>
                <w:sz w:val="17"/>
              </w:rPr>
            </w:r>
          </w:p>
        </w:tc>
      </w:tr>
    </w:tbl>
    <w:p>
      <w:pPr>
        <w:spacing w:after="20"/>
      </w:pPr>
    </w:p>
    <w:p>
      <w:pPr>
        <w:pStyle w:val="Heading1"/>
        <w:keepNext/>
      </w:pPr>
      <w:r>
        <w:t>ANEXA I. Planul de întreținere</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3288"/>
            <w:shd w:fill="17324D"/>
            <w:tcMar>
              <w:top w:w="85" w:type="dxa"/>
              <w:start w:w="90" w:type="dxa"/>
              <w:bottom w:w="85" w:type="dxa"/>
              <w:end w:w="90" w:type="dxa"/>
            </w:tcMar>
            <w:vAlign w:val="top"/>
          </w:tcPr>
          <w:p>
            <w:pPr>
              <w:spacing w:line="240" w:lineRule="auto"/>
            </w:pPr>
            <w:r>
              <w:rPr>
                <w:rFonts w:ascii="Arial" w:hAnsi="Arial"/>
                <w:b/>
                <w:color w:val="FFFFFF"/>
                <w:sz w:val="17"/>
              </w:rPr>
              <w:t>Element</w:t>
            </w:r>
          </w:p>
        </w:tc>
        <w:tc>
          <w:tcPr>
            <w:tcW w:type="dxa" w:w="6123"/>
            <w:shd w:fill="17324D"/>
            <w:tcMar>
              <w:top w:w="85" w:type="dxa"/>
              <w:start w:w="90" w:type="dxa"/>
              <w:bottom w:w="85" w:type="dxa"/>
              <w:end w:w="90" w:type="dxa"/>
            </w:tcMar>
            <w:vAlign w:val="top"/>
          </w:tcPr>
          <w:p>
            <w:pPr>
              <w:spacing w:line="240" w:lineRule="auto"/>
            </w:pPr>
            <w:r>
              <w:rPr>
                <w:rFonts w:ascii="Arial" w:hAnsi="Arial"/>
                <w:b/>
                <w:color w:val="FFFFFF"/>
                <w:sz w:val="17"/>
              </w:rPr>
              <w:t>Plan</w:t>
            </w:r>
          </w:p>
        </w:tc>
      </w:tr>
      <w:tr>
        <w:tc>
          <w:tcPr>
            <w:tcW w:type="dxa" w:w="3288"/>
            <w:tcMar>
              <w:top w:w="70" w:type="dxa"/>
              <w:start w:w="75" w:type="dxa"/>
              <w:bottom w:w="70" w:type="dxa"/>
              <w:end w:w="75" w:type="dxa"/>
            </w:tcMar>
            <w:vAlign w:val="top"/>
          </w:tcPr>
          <w:p>
            <w:pPr>
              <w:spacing w:after="0" w:line="240" w:lineRule="auto"/>
            </w:pPr>
            <w:r>
              <w:rPr>
                <w:rFonts w:ascii="Arial" w:hAnsi="Arial"/>
                <w:b/>
                <w:sz w:val="17"/>
              </w:rPr>
              <w:t>Semne timpurii</w:t>
            </w:r>
          </w:p>
        </w:tc>
        <w:tc>
          <w:tcPr>
            <w:tcW w:type="dxa" w:w="612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288"/>
            <w:tcMar>
              <w:top w:w="70" w:type="dxa"/>
              <w:start w:w="75" w:type="dxa"/>
              <w:bottom w:w="70" w:type="dxa"/>
              <w:end w:w="75" w:type="dxa"/>
            </w:tcMar>
            <w:vAlign w:val="top"/>
            <w:shd w:fill="F9FBFC"/>
          </w:tcPr>
          <w:p>
            <w:pPr>
              <w:spacing w:after="0" w:line="240" w:lineRule="auto"/>
            </w:pPr>
            <w:r>
              <w:rPr>
                <w:rFonts w:ascii="Arial" w:hAnsi="Arial"/>
                <w:b/>
                <w:sz w:val="17"/>
              </w:rPr>
              <w:t>Strategii personale</w:t>
            </w:r>
          </w:p>
        </w:tc>
        <w:tc>
          <w:tcPr>
            <w:tcW w:type="dxa" w:w="612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288"/>
            <w:tcMar>
              <w:top w:w="70" w:type="dxa"/>
              <w:start w:w="75" w:type="dxa"/>
              <w:bottom w:w="70" w:type="dxa"/>
              <w:end w:w="75" w:type="dxa"/>
            </w:tcMar>
            <w:vAlign w:val="top"/>
          </w:tcPr>
          <w:p>
            <w:pPr>
              <w:spacing w:after="0" w:line="240" w:lineRule="auto"/>
            </w:pPr>
            <w:r>
              <w:rPr>
                <w:rFonts w:ascii="Arial" w:hAnsi="Arial"/>
                <w:b/>
                <w:sz w:val="17"/>
              </w:rPr>
              <w:t>Persoane de sprijin</w:t>
            </w:r>
          </w:p>
        </w:tc>
        <w:tc>
          <w:tcPr>
            <w:tcW w:type="dxa" w:w="612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288"/>
            <w:tcMar>
              <w:top w:w="70" w:type="dxa"/>
              <w:start w:w="75" w:type="dxa"/>
              <w:bottom w:w="70" w:type="dxa"/>
              <w:end w:w="75" w:type="dxa"/>
            </w:tcMar>
            <w:vAlign w:val="top"/>
            <w:shd w:fill="F9FBFC"/>
          </w:tcPr>
          <w:p>
            <w:pPr>
              <w:spacing w:after="0" w:line="240" w:lineRule="auto"/>
            </w:pPr>
            <w:r>
              <w:rPr>
                <w:rFonts w:ascii="Arial" w:hAnsi="Arial"/>
                <w:b/>
                <w:sz w:val="17"/>
              </w:rPr>
              <w:t>Servicii și programări</w:t>
            </w:r>
          </w:p>
        </w:tc>
        <w:tc>
          <w:tcPr>
            <w:tcW w:type="dxa" w:w="612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288"/>
            <w:tcMar>
              <w:top w:w="70" w:type="dxa"/>
              <w:start w:w="75" w:type="dxa"/>
              <w:bottom w:w="70" w:type="dxa"/>
              <w:end w:w="75" w:type="dxa"/>
            </w:tcMar>
            <w:vAlign w:val="top"/>
          </w:tcPr>
          <w:p>
            <w:pPr>
              <w:spacing w:after="0" w:line="240" w:lineRule="auto"/>
            </w:pPr>
            <w:r>
              <w:rPr>
                <w:rFonts w:ascii="Arial" w:hAnsi="Arial"/>
                <w:b/>
                <w:sz w:val="17"/>
              </w:rPr>
              <w:t>Grup / comunitate</w:t>
            </w:r>
          </w:p>
        </w:tc>
        <w:tc>
          <w:tcPr>
            <w:tcW w:type="dxa" w:w="612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288"/>
            <w:tcMar>
              <w:top w:w="70" w:type="dxa"/>
              <w:start w:w="75" w:type="dxa"/>
              <w:bottom w:w="70" w:type="dxa"/>
              <w:end w:w="75" w:type="dxa"/>
            </w:tcMar>
            <w:vAlign w:val="top"/>
            <w:shd w:fill="F9FBFC"/>
          </w:tcPr>
          <w:p>
            <w:pPr>
              <w:spacing w:after="0" w:line="240" w:lineRule="auto"/>
            </w:pPr>
            <w:r>
              <w:rPr>
                <w:rFonts w:ascii="Arial" w:hAnsi="Arial"/>
                <w:b/>
                <w:sz w:val="17"/>
              </w:rPr>
              <w:t>Tratament și monitorizare</w:t>
            </w:r>
          </w:p>
        </w:tc>
        <w:tc>
          <w:tcPr>
            <w:tcW w:type="dxa" w:w="612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288"/>
            <w:tcMar>
              <w:top w:w="70" w:type="dxa"/>
              <w:start w:w="75" w:type="dxa"/>
              <w:bottom w:w="70" w:type="dxa"/>
              <w:end w:w="75" w:type="dxa"/>
            </w:tcMar>
            <w:vAlign w:val="top"/>
          </w:tcPr>
          <w:p>
            <w:pPr>
              <w:spacing w:after="0" w:line="240" w:lineRule="auto"/>
            </w:pPr>
            <w:r>
              <w:rPr>
                <w:rFonts w:ascii="Arial" w:hAnsi="Arial"/>
                <w:b/>
                <w:sz w:val="17"/>
              </w:rPr>
              <w:t>Situații speciale</w:t>
            </w:r>
          </w:p>
        </w:tc>
        <w:tc>
          <w:tcPr>
            <w:tcW w:type="dxa" w:w="6123"/>
            <w:tcMar>
              <w:top w:w="70" w:type="dxa"/>
              <w:start w:w="75" w:type="dxa"/>
              <w:bottom w:w="70" w:type="dxa"/>
              <w:end w:w="75" w:type="dxa"/>
            </w:tcMar>
            <w:vAlign w:val="top"/>
          </w:tcPr>
          <w:p>
            <w:pPr>
              <w:spacing w:after="0" w:line="240" w:lineRule="auto"/>
            </w:pPr>
            <w:r>
              <w:rPr>
                <w:rFonts w:ascii="Arial" w:hAnsi="Arial"/>
                <w:b w:val="0"/>
                <w:sz w:val="17"/>
              </w:rPr>
            </w:r>
          </w:p>
        </w:tc>
      </w:tr>
      <w:tr>
        <w:tc>
          <w:tcPr>
            <w:tcW w:type="dxa" w:w="3288"/>
            <w:tcMar>
              <w:top w:w="70" w:type="dxa"/>
              <w:start w:w="75" w:type="dxa"/>
              <w:bottom w:w="70" w:type="dxa"/>
              <w:end w:w="75" w:type="dxa"/>
            </w:tcMar>
            <w:vAlign w:val="top"/>
            <w:shd w:fill="F9FBFC"/>
          </w:tcPr>
          <w:p>
            <w:pPr>
              <w:spacing w:after="0" w:line="240" w:lineRule="auto"/>
            </w:pPr>
            <w:r>
              <w:rPr>
                <w:rFonts w:ascii="Arial" w:hAnsi="Arial"/>
                <w:b/>
                <w:sz w:val="17"/>
              </w:rPr>
              <w:t>Ce fac după o alunecare</w:t>
            </w:r>
          </w:p>
        </w:tc>
        <w:tc>
          <w:tcPr>
            <w:tcW w:type="dxa" w:w="6123"/>
            <w:tcMar>
              <w:top w:w="70" w:type="dxa"/>
              <w:start w:w="75" w:type="dxa"/>
              <w:bottom w:w="70" w:type="dxa"/>
              <w:end w:w="75" w:type="dxa"/>
            </w:tcMar>
            <w:vAlign w:val="top"/>
            <w:shd w:fill="F9FBFC"/>
          </w:tcPr>
          <w:p>
            <w:pPr>
              <w:spacing w:after="0" w:line="240" w:lineRule="auto"/>
            </w:pPr>
            <w:r>
              <w:rPr>
                <w:rFonts w:ascii="Arial" w:hAnsi="Arial"/>
                <w:b w:val="0"/>
                <w:sz w:val="17"/>
              </w:rPr>
            </w:r>
          </w:p>
        </w:tc>
      </w:tr>
      <w:tr>
        <w:tc>
          <w:tcPr>
            <w:tcW w:type="dxa" w:w="3288"/>
            <w:tcMar>
              <w:top w:w="70" w:type="dxa"/>
              <w:start w:w="75" w:type="dxa"/>
              <w:bottom w:w="70" w:type="dxa"/>
              <w:end w:w="75" w:type="dxa"/>
            </w:tcMar>
            <w:vAlign w:val="top"/>
          </w:tcPr>
          <w:p>
            <w:pPr>
              <w:spacing w:after="0" w:line="240" w:lineRule="auto"/>
            </w:pPr>
            <w:r>
              <w:rPr>
                <w:rFonts w:ascii="Arial" w:hAnsi="Arial"/>
                <w:b/>
                <w:sz w:val="17"/>
              </w:rPr>
              <w:t>Cum revin rapid în program</w:t>
            </w:r>
          </w:p>
        </w:tc>
        <w:tc>
          <w:tcPr>
            <w:tcW w:type="dxa" w:w="6123"/>
            <w:tcMar>
              <w:top w:w="70" w:type="dxa"/>
              <w:start w:w="75" w:type="dxa"/>
              <w:bottom w:w="70" w:type="dxa"/>
              <w:end w:w="75" w:type="dxa"/>
            </w:tcMar>
            <w:vAlign w:val="top"/>
          </w:tcPr>
          <w:p>
            <w:pPr>
              <w:spacing w:after="0" w:line="240" w:lineRule="auto"/>
            </w:pPr>
            <w:r>
              <w:rPr>
                <w:rFonts w:ascii="Arial" w:hAnsi="Arial"/>
                <w:b w:val="0"/>
                <w:sz w:val="17"/>
              </w:rPr>
            </w:r>
          </w:p>
        </w:tc>
      </w:tr>
    </w:tbl>
    <w:p>
      <w:pPr>
        <w:spacing w:after="20"/>
      </w:pPr>
    </w:p>
    <w:p>
      <w:pPr>
        <w:pStyle w:val="Heading1"/>
        <w:keepNext/>
      </w:pPr>
      <w:r>
        <w:t>ANEXA J. Checklist de fidelitate clinică</w:t>
      </w:r>
    </w:p>
    <w:p>
      <w:pPr>
        <w:pStyle w:val="ListBullet"/>
        <w:spacing w:after="52"/>
      </w:pPr>
      <w:r>
        <w:t>Poarta de siguranță a fost efectuată și documentată.</w:t>
      </w:r>
    </w:p>
    <w:p>
      <w:pPr>
        <w:pStyle w:val="ListBullet"/>
        <w:spacing w:after="52"/>
      </w:pPr>
      <w:r>
        <w:t>Nivelul de îngrijire a fost stabilit de profesionist.</w:t>
      </w:r>
    </w:p>
    <w:p>
      <w:pPr>
        <w:pStyle w:val="ListBullet"/>
        <w:spacing w:after="52"/>
      </w:pPr>
      <w:r>
        <w:t>Evaluarea include riscuri, comorbidități, mediu și resurse.</w:t>
      </w:r>
    </w:p>
    <w:p>
      <w:pPr>
        <w:pStyle w:val="ListBullet"/>
        <w:spacing w:after="52"/>
      </w:pPr>
      <w:r>
        <w:t>Cărarea a fost aleasă colaborativ și justificată.</w:t>
      </w:r>
    </w:p>
    <w:p>
      <w:pPr>
        <w:pStyle w:val="ListBullet"/>
        <w:spacing w:after="52"/>
      </w:pPr>
      <w:r>
        <w:t>Planul are obiective, responsabil și termen.</w:t>
      </w:r>
    </w:p>
    <w:p>
      <w:pPr>
        <w:pStyle w:val="ListBullet"/>
        <w:spacing w:after="52"/>
      </w:pPr>
      <w:r>
        <w:t>Există plan de siguranță și limite de monitorizare explicite.</w:t>
      </w:r>
    </w:p>
    <w:p>
      <w:pPr>
        <w:pStyle w:val="ListBullet"/>
        <w:spacing w:after="52"/>
      </w:pPr>
      <w:r>
        <w:t>Recăderea este abordată prin reevaluare, nu sancțiune.</w:t>
      </w:r>
    </w:p>
    <w:p>
      <w:pPr>
        <w:pStyle w:val="ListBullet"/>
        <w:spacing w:after="52"/>
      </w:pPr>
      <w:r>
        <w:t>Grupurile și familia au consimțăminte și limite clare.</w:t>
      </w:r>
    </w:p>
    <w:p>
      <w:pPr>
        <w:pStyle w:val="ListBullet"/>
        <w:spacing w:after="52"/>
      </w:pPr>
      <w:r>
        <w:t>Chatbotul nu depășește rolul non-terapeutic.</w:t>
      </w:r>
    </w:p>
    <w:p>
      <w:pPr>
        <w:pStyle w:val="ListBullet"/>
        <w:spacing w:after="52"/>
      </w:pPr>
      <w:r>
        <w:t>Planul este reevaluat și există continuitate.</w:t>
      </w:r>
    </w:p>
    <w:p>
      <w:pPr>
        <w:pStyle w:val="Heading1"/>
        <w:keepNext/>
      </w:pPr>
      <w:r>
        <w:t>ANEXA K. Bibliografie de lucru</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2835"/>
            <w:shd w:fill="17324D"/>
            <w:tcMar>
              <w:top w:w="85" w:type="dxa"/>
              <w:start w:w="90" w:type="dxa"/>
              <w:bottom w:w="85" w:type="dxa"/>
              <w:end w:w="90" w:type="dxa"/>
            </w:tcMar>
            <w:vAlign w:val="top"/>
          </w:tcPr>
          <w:p>
            <w:pPr>
              <w:spacing w:line="240" w:lineRule="auto"/>
            </w:pPr>
            <w:r>
              <w:rPr>
                <w:rFonts w:ascii="Arial" w:hAnsi="Arial"/>
                <w:b/>
                <w:color w:val="FFFFFF"/>
                <w:sz w:val="17"/>
              </w:rPr>
              <w:t>Sursă</w:t>
            </w:r>
          </w:p>
        </w:tc>
        <w:tc>
          <w:tcPr>
            <w:tcW w:type="dxa" w:w="6576"/>
            <w:shd w:fill="17324D"/>
            <w:tcMar>
              <w:top w:w="85" w:type="dxa"/>
              <w:start w:w="90" w:type="dxa"/>
              <w:bottom w:w="85" w:type="dxa"/>
              <w:end w:w="90" w:type="dxa"/>
            </w:tcMar>
            <w:vAlign w:val="top"/>
          </w:tcPr>
          <w:p>
            <w:pPr>
              <w:spacing w:line="240" w:lineRule="auto"/>
            </w:pPr>
            <w:r>
              <w:rPr>
                <w:rFonts w:ascii="Arial" w:hAnsi="Arial"/>
                <w:b/>
                <w:color w:val="FFFFFF"/>
                <w:sz w:val="17"/>
              </w:rPr>
              <w:t>Utilizare</w:t>
            </w:r>
          </w:p>
        </w:tc>
      </w:tr>
      <w:tr>
        <w:tc>
          <w:tcPr>
            <w:tcW w:type="dxa" w:w="2835"/>
            <w:tcMar>
              <w:top w:w="70" w:type="dxa"/>
              <w:start w:w="75" w:type="dxa"/>
              <w:bottom w:w="70" w:type="dxa"/>
              <w:end w:w="75" w:type="dxa"/>
            </w:tcMar>
            <w:vAlign w:val="top"/>
          </w:tcPr>
          <w:p>
            <w:pPr>
              <w:spacing w:after="0" w:line="240" w:lineRule="auto"/>
            </w:pPr>
            <w:r>
              <w:rPr>
                <w:rFonts w:ascii="Arial" w:hAnsi="Arial"/>
                <w:b/>
                <w:sz w:val="17"/>
              </w:rPr>
              <w:t>WHO &amp; UNODC</w:t>
            </w:r>
          </w:p>
        </w:tc>
        <w:tc>
          <w:tcPr>
            <w:tcW w:type="dxa" w:w="6576"/>
            <w:tcMar>
              <w:top w:w="70" w:type="dxa"/>
              <w:start w:w="75" w:type="dxa"/>
              <w:bottom w:w="70" w:type="dxa"/>
              <w:end w:w="75" w:type="dxa"/>
            </w:tcMar>
            <w:vAlign w:val="top"/>
          </w:tcPr>
          <w:p>
            <w:pPr>
              <w:spacing w:after="0" w:line="240" w:lineRule="auto"/>
            </w:pPr>
            <w:r>
              <w:rPr>
                <w:rFonts w:ascii="Arial" w:hAnsi="Arial"/>
                <w:b w:val="0"/>
                <w:sz w:val="17"/>
              </w:rPr>
              <w:t>International Standards for the Treatment of Drug Use Disorders, revised edition, 2020.</w:t>
            </w:r>
          </w:p>
        </w:tc>
      </w:tr>
      <w:tr>
        <w:tc>
          <w:tcPr>
            <w:tcW w:type="dxa" w:w="2835"/>
            <w:tcMar>
              <w:top w:w="70" w:type="dxa"/>
              <w:start w:w="75" w:type="dxa"/>
              <w:bottom w:w="70" w:type="dxa"/>
              <w:end w:w="75" w:type="dxa"/>
            </w:tcMar>
            <w:vAlign w:val="top"/>
            <w:shd w:fill="F9FBFC"/>
          </w:tcPr>
          <w:p>
            <w:pPr>
              <w:spacing w:after="0" w:line="240" w:lineRule="auto"/>
            </w:pPr>
            <w:r>
              <w:rPr>
                <w:rFonts w:ascii="Arial" w:hAnsi="Arial"/>
                <w:b/>
                <w:sz w:val="17"/>
              </w:rPr>
              <w:t>ASAM</w:t>
            </w:r>
          </w:p>
        </w:tc>
        <w:tc>
          <w:tcPr>
            <w:tcW w:type="dxa" w:w="6576"/>
            <w:tcMar>
              <w:top w:w="70" w:type="dxa"/>
              <w:start w:w="75" w:type="dxa"/>
              <w:bottom w:w="70" w:type="dxa"/>
              <w:end w:w="75" w:type="dxa"/>
            </w:tcMar>
            <w:vAlign w:val="top"/>
            <w:shd w:fill="F9FBFC"/>
          </w:tcPr>
          <w:p>
            <w:pPr>
              <w:spacing w:after="0" w:line="240" w:lineRule="auto"/>
            </w:pPr>
            <w:r>
              <w:rPr>
                <w:rFonts w:ascii="Arial" w:hAnsi="Arial"/>
                <w:b w:val="0"/>
                <w:sz w:val="17"/>
              </w:rPr>
              <w:t>The ASAM Criteria, 4th edition; se utilizează ediția și materialele licențiate curente.</w:t>
            </w:r>
          </w:p>
        </w:tc>
      </w:tr>
      <w:tr>
        <w:tc>
          <w:tcPr>
            <w:tcW w:type="dxa" w:w="2835"/>
            <w:tcMar>
              <w:top w:w="70" w:type="dxa"/>
              <w:start w:w="75" w:type="dxa"/>
              <w:bottom w:w="70" w:type="dxa"/>
              <w:end w:w="75" w:type="dxa"/>
            </w:tcMar>
            <w:vAlign w:val="top"/>
          </w:tcPr>
          <w:p>
            <w:pPr>
              <w:spacing w:after="0" w:line="240" w:lineRule="auto"/>
            </w:pPr>
            <w:r>
              <w:rPr>
                <w:rFonts w:ascii="Arial" w:hAnsi="Arial"/>
                <w:b/>
                <w:sz w:val="17"/>
              </w:rPr>
              <w:t>ASAM</w:t>
            </w:r>
          </w:p>
        </w:tc>
        <w:tc>
          <w:tcPr>
            <w:tcW w:type="dxa" w:w="6576"/>
            <w:tcMar>
              <w:top w:w="70" w:type="dxa"/>
              <w:start w:w="75" w:type="dxa"/>
              <w:bottom w:w="70" w:type="dxa"/>
              <w:end w:w="75" w:type="dxa"/>
            </w:tcMar>
            <w:vAlign w:val="top"/>
          </w:tcPr>
          <w:p>
            <w:pPr>
              <w:spacing w:after="0" w:line="240" w:lineRule="auto"/>
            </w:pPr>
            <w:r>
              <w:rPr>
                <w:rFonts w:ascii="Arial" w:hAnsi="Arial"/>
                <w:b w:val="0"/>
                <w:sz w:val="17"/>
              </w:rPr>
              <w:t>Clinical Practice Guideline on Alcohol Withdrawal Management, 2020; adaptare la protocoalele locale.</w:t>
            </w:r>
          </w:p>
        </w:tc>
      </w:tr>
      <w:tr>
        <w:tc>
          <w:tcPr>
            <w:tcW w:type="dxa" w:w="2835"/>
            <w:tcMar>
              <w:top w:w="70" w:type="dxa"/>
              <w:start w:w="75" w:type="dxa"/>
              <w:bottom w:w="70" w:type="dxa"/>
              <w:end w:w="75" w:type="dxa"/>
            </w:tcMar>
            <w:vAlign w:val="top"/>
            <w:shd w:fill="F9FBFC"/>
          </w:tcPr>
          <w:p>
            <w:pPr>
              <w:spacing w:after="0" w:line="240" w:lineRule="auto"/>
            </w:pPr>
            <w:r>
              <w:rPr>
                <w:rFonts w:ascii="Arial" w:hAnsi="Arial"/>
                <w:b/>
                <w:sz w:val="17"/>
              </w:rPr>
              <w:t>SAMHSA</w:t>
            </w:r>
          </w:p>
        </w:tc>
        <w:tc>
          <w:tcPr>
            <w:tcW w:type="dxa" w:w="6576"/>
            <w:tcMar>
              <w:top w:w="70" w:type="dxa"/>
              <w:start w:w="75" w:type="dxa"/>
              <w:bottom w:w="70" w:type="dxa"/>
              <w:end w:w="75" w:type="dxa"/>
            </w:tcMar>
            <w:vAlign w:val="top"/>
            <w:shd w:fill="F9FBFC"/>
          </w:tcPr>
          <w:p>
            <w:pPr>
              <w:spacing w:after="0" w:line="240" w:lineRule="auto"/>
            </w:pPr>
            <w:r>
              <w:rPr>
                <w:rFonts w:ascii="Arial" w:hAnsi="Arial"/>
                <w:b w:val="0"/>
                <w:sz w:val="17"/>
              </w:rPr>
              <w:t>TIP 35: Enhancing Motivation for Change in Substance Use Disorder Treatment.</w:t>
            </w:r>
          </w:p>
        </w:tc>
      </w:tr>
      <w:tr>
        <w:tc>
          <w:tcPr>
            <w:tcW w:type="dxa" w:w="2835"/>
            <w:tcMar>
              <w:top w:w="70" w:type="dxa"/>
              <w:start w:w="75" w:type="dxa"/>
              <w:bottom w:w="70" w:type="dxa"/>
              <w:end w:w="75" w:type="dxa"/>
            </w:tcMar>
            <w:vAlign w:val="top"/>
          </w:tcPr>
          <w:p>
            <w:pPr>
              <w:spacing w:after="0" w:line="240" w:lineRule="auto"/>
            </w:pPr>
            <w:r>
              <w:rPr>
                <w:rFonts w:ascii="Arial" w:hAnsi="Arial"/>
                <w:b/>
                <w:sz w:val="17"/>
              </w:rPr>
              <w:t>SAMHSA</w:t>
            </w:r>
          </w:p>
        </w:tc>
        <w:tc>
          <w:tcPr>
            <w:tcW w:type="dxa" w:w="6576"/>
            <w:tcMar>
              <w:top w:w="70" w:type="dxa"/>
              <w:start w:w="75" w:type="dxa"/>
              <w:bottom w:w="70" w:type="dxa"/>
              <w:end w:w="75" w:type="dxa"/>
            </w:tcMar>
            <w:vAlign w:val="top"/>
          </w:tcPr>
          <w:p>
            <w:pPr>
              <w:spacing w:after="0" w:line="240" w:lineRule="auto"/>
            </w:pPr>
            <w:r>
              <w:rPr>
                <w:rFonts w:ascii="Arial" w:hAnsi="Arial"/>
                <w:b w:val="0"/>
                <w:sz w:val="17"/>
              </w:rPr>
              <w:t>TIP 41: Substance Abuse Treatment: Group Therapy.</w:t>
            </w:r>
          </w:p>
        </w:tc>
      </w:tr>
      <w:tr>
        <w:tc>
          <w:tcPr>
            <w:tcW w:type="dxa" w:w="2835"/>
            <w:tcMar>
              <w:top w:w="70" w:type="dxa"/>
              <w:start w:w="75" w:type="dxa"/>
              <w:bottom w:w="70" w:type="dxa"/>
              <w:end w:w="75" w:type="dxa"/>
            </w:tcMar>
            <w:vAlign w:val="top"/>
            <w:shd w:fill="F9FBFC"/>
          </w:tcPr>
          <w:p>
            <w:pPr>
              <w:spacing w:after="0" w:line="240" w:lineRule="auto"/>
            </w:pPr>
            <w:r>
              <w:rPr>
                <w:rFonts w:ascii="Arial" w:hAnsi="Arial"/>
                <w:b/>
                <w:sz w:val="17"/>
              </w:rPr>
              <w:t>Colombo Plan UTC</w:t>
            </w:r>
          </w:p>
        </w:tc>
        <w:tc>
          <w:tcPr>
            <w:tcW w:type="dxa" w:w="6576"/>
            <w:tcMar>
              <w:top w:w="70" w:type="dxa"/>
              <w:start w:w="75" w:type="dxa"/>
              <w:bottom w:w="70" w:type="dxa"/>
              <w:end w:w="75" w:type="dxa"/>
            </w:tcMar>
            <w:vAlign w:val="top"/>
            <w:shd w:fill="F9FBFC"/>
          </w:tcPr>
          <w:p>
            <w:pPr>
              <w:spacing w:after="0" w:line="240" w:lineRule="auto"/>
            </w:pPr>
            <w:r>
              <w:rPr>
                <w:rFonts w:ascii="Arial" w:hAnsi="Arial"/>
                <w:b w:val="0"/>
                <w:sz w:val="17"/>
              </w:rPr>
              <w:t>Treatment for Substance Use Disorders—The Continuum of Care for Addiction Professionals, 3rd ed., 2017.</w:t>
            </w:r>
          </w:p>
        </w:tc>
      </w:tr>
      <w:tr>
        <w:tc>
          <w:tcPr>
            <w:tcW w:type="dxa" w:w="2835"/>
            <w:tcMar>
              <w:top w:w="70" w:type="dxa"/>
              <w:start w:w="75" w:type="dxa"/>
              <w:bottom w:w="70" w:type="dxa"/>
              <w:end w:w="75" w:type="dxa"/>
            </w:tcMar>
            <w:vAlign w:val="top"/>
          </w:tcPr>
          <w:p>
            <w:pPr>
              <w:spacing w:after="0" w:line="240" w:lineRule="auto"/>
            </w:pPr>
            <w:r>
              <w:rPr>
                <w:rFonts w:ascii="Arial" w:hAnsi="Arial"/>
                <w:b/>
                <w:sz w:val="17"/>
              </w:rPr>
              <w:t>Levounis, Arnaout, Marienfeld</w:t>
            </w:r>
          </w:p>
        </w:tc>
        <w:tc>
          <w:tcPr>
            <w:tcW w:type="dxa" w:w="6576"/>
            <w:tcMar>
              <w:top w:w="70" w:type="dxa"/>
              <w:start w:w="75" w:type="dxa"/>
              <w:bottom w:w="70" w:type="dxa"/>
              <w:end w:w="75" w:type="dxa"/>
            </w:tcMar>
            <w:vAlign w:val="top"/>
          </w:tcPr>
          <w:p>
            <w:pPr>
              <w:spacing w:after="0" w:line="240" w:lineRule="auto"/>
            </w:pPr>
            <w:r>
              <w:rPr>
                <w:rFonts w:ascii="Arial" w:hAnsi="Arial"/>
                <w:b w:val="0"/>
                <w:sz w:val="17"/>
              </w:rPr>
              <w:t>Motivational Interviewing for Clinical Practice, 2017.</w:t>
            </w:r>
          </w:p>
        </w:tc>
      </w:tr>
      <w:tr>
        <w:tc>
          <w:tcPr>
            <w:tcW w:type="dxa" w:w="2835"/>
            <w:tcMar>
              <w:top w:w="70" w:type="dxa"/>
              <w:start w:w="75" w:type="dxa"/>
              <w:bottom w:w="70" w:type="dxa"/>
              <w:end w:w="75" w:type="dxa"/>
            </w:tcMar>
            <w:vAlign w:val="top"/>
            <w:shd w:fill="F9FBFC"/>
          </w:tcPr>
          <w:p>
            <w:pPr>
              <w:spacing w:after="0" w:line="240" w:lineRule="auto"/>
            </w:pPr>
            <w:r>
              <w:rPr>
                <w:rFonts w:ascii="Arial" w:hAnsi="Arial"/>
                <w:b/>
                <w:sz w:val="17"/>
              </w:rPr>
              <w:t>Sobell &amp; Sobell</w:t>
            </w:r>
          </w:p>
        </w:tc>
        <w:tc>
          <w:tcPr>
            <w:tcW w:type="dxa" w:w="6576"/>
            <w:tcMar>
              <w:top w:w="70" w:type="dxa"/>
              <w:start w:w="75" w:type="dxa"/>
              <w:bottom w:w="70" w:type="dxa"/>
              <w:end w:w="75" w:type="dxa"/>
            </w:tcMar>
            <w:vAlign w:val="top"/>
            <w:shd w:fill="F9FBFC"/>
          </w:tcPr>
          <w:p>
            <w:pPr>
              <w:spacing w:after="0" w:line="240" w:lineRule="auto"/>
            </w:pPr>
            <w:r>
              <w:rPr>
                <w:rFonts w:ascii="Arial" w:hAnsi="Arial"/>
                <w:b w:val="0"/>
                <w:sz w:val="17"/>
              </w:rPr>
              <w:t>Group Therapy for Substance Use Disorders: A Motivational Cognitive-Behavioral Approach, 2011.</w:t>
            </w:r>
          </w:p>
        </w:tc>
      </w:tr>
      <w:tr>
        <w:tc>
          <w:tcPr>
            <w:tcW w:type="dxa" w:w="2835"/>
            <w:tcMar>
              <w:top w:w="70" w:type="dxa"/>
              <w:start w:w="75" w:type="dxa"/>
              <w:bottom w:w="70" w:type="dxa"/>
              <w:end w:w="75" w:type="dxa"/>
            </w:tcMar>
            <w:vAlign w:val="top"/>
          </w:tcPr>
          <w:p>
            <w:pPr>
              <w:spacing w:after="0" w:line="240" w:lineRule="auto"/>
            </w:pPr>
            <w:r>
              <w:rPr>
                <w:rFonts w:ascii="Arial" w:hAnsi="Arial"/>
                <w:b/>
                <w:sz w:val="17"/>
              </w:rPr>
              <w:t>Donohue &amp; Allen</w:t>
            </w:r>
          </w:p>
        </w:tc>
        <w:tc>
          <w:tcPr>
            <w:tcW w:type="dxa" w:w="6576"/>
            <w:tcMar>
              <w:top w:w="70" w:type="dxa"/>
              <w:start w:w="75" w:type="dxa"/>
              <w:bottom w:w="70" w:type="dxa"/>
              <w:end w:w="75" w:type="dxa"/>
            </w:tcMar>
            <w:vAlign w:val="top"/>
          </w:tcPr>
          <w:p>
            <w:pPr>
              <w:spacing w:after="0" w:line="240" w:lineRule="auto"/>
            </w:pPr>
            <w:r>
              <w:rPr>
                <w:rFonts w:ascii="Arial" w:hAnsi="Arial"/>
                <w:b w:val="0"/>
                <w:sz w:val="17"/>
              </w:rPr>
              <w:t>Treating Adult Substance Abuse Using Family Behavior Therapy, 2011.</w:t>
            </w:r>
          </w:p>
        </w:tc>
      </w:tr>
      <w:tr>
        <w:tc>
          <w:tcPr>
            <w:tcW w:type="dxa" w:w="2835"/>
            <w:tcMar>
              <w:top w:w="70" w:type="dxa"/>
              <w:start w:w="75" w:type="dxa"/>
              <w:bottom w:w="70" w:type="dxa"/>
              <w:end w:w="75" w:type="dxa"/>
            </w:tcMar>
            <w:vAlign w:val="top"/>
            <w:shd w:fill="F9FBFC"/>
          </w:tcPr>
          <w:p>
            <w:pPr>
              <w:spacing w:after="0" w:line="240" w:lineRule="auto"/>
            </w:pPr>
            <w:r>
              <w:rPr>
                <w:rFonts w:ascii="Arial" w:hAnsi="Arial"/>
                <w:b/>
                <w:sz w:val="17"/>
              </w:rPr>
              <w:t>Perkinson, Jongsma, Bruce</w:t>
            </w:r>
          </w:p>
        </w:tc>
        <w:tc>
          <w:tcPr>
            <w:tcW w:type="dxa" w:w="6576"/>
            <w:tcMar>
              <w:top w:w="70" w:type="dxa"/>
              <w:start w:w="75" w:type="dxa"/>
              <w:bottom w:w="70" w:type="dxa"/>
              <w:end w:w="75" w:type="dxa"/>
            </w:tcMar>
            <w:vAlign w:val="top"/>
            <w:shd w:fill="F9FBFC"/>
          </w:tcPr>
          <w:p>
            <w:pPr>
              <w:spacing w:after="0" w:line="240" w:lineRule="auto"/>
            </w:pPr>
            <w:r>
              <w:rPr>
                <w:rFonts w:ascii="Arial" w:hAnsi="Arial"/>
                <w:b w:val="0"/>
                <w:sz w:val="17"/>
              </w:rPr>
              <w:t>The Addiction Treatment Planner, 6th ed., 2022.</w:t>
            </w:r>
          </w:p>
        </w:tc>
      </w:tr>
      <w:tr>
        <w:tc>
          <w:tcPr>
            <w:tcW w:type="dxa" w:w="2835"/>
            <w:tcMar>
              <w:top w:w="70" w:type="dxa"/>
              <w:start w:w="75" w:type="dxa"/>
              <w:bottom w:w="70" w:type="dxa"/>
              <w:end w:w="75" w:type="dxa"/>
            </w:tcMar>
            <w:vAlign w:val="top"/>
          </w:tcPr>
          <w:p>
            <w:pPr>
              <w:spacing w:after="0" w:line="240" w:lineRule="auto"/>
            </w:pPr>
            <w:r>
              <w:rPr>
                <w:rFonts w:ascii="Arial" w:hAnsi="Arial"/>
                <w:b/>
                <w:sz w:val="17"/>
              </w:rPr>
              <w:t>Chambers &amp; Masterson</w:t>
            </w:r>
          </w:p>
        </w:tc>
        <w:tc>
          <w:tcPr>
            <w:tcW w:type="dxa" w:w="6576"/>
            <w:tcMar>
              <w:top w:w="70" w:type="dxa"/>
              <w:start w:w="75" w:type="dxa"/>
              <w:bottom w:w="70" w:type="dxa"/>
              <w:end w:w="75" w:type="dxa"/>
            </w:tcMar>
            <w:vAlign w:val="top"/>
          </w:tcPr>
          <w:p>
            <w:pPr>
              <w:spacing w:after="0" w:line="240" w:lineRule="auto"/>
            </w:pPr>
            <w:r>
              <w:rPr>
                <w:rFonts w:ascii="Arial" w:hAnsi="Arial"/>
                <w:b w:val="0"/>
                <w:sz w:val="17"/>
              </w:rPr>
              <w:t>Introduction to Addiction Psychiatry, 2025.</w:t>
            </w:r>
          </w:p>
        </w:tc>
      </w:tr>
      <w:tr>
        <w:tc>
          <w:tcPr>
            <w:tcW w:type="dxa" w:w="2835"/>
            <w:tcMar>
              <w:top w:w="70" w:type="dxa"/>
              <w:start w:w="75" w:type="dxa"/>
              <w:bottom w:w="70" w:type="dxa"/>
              <w:end w:w="75" w:type="dxa"/>
            </w:tcMar>
            <w:vAlign w:val="top"/>
            <w:shd w:fill="F9FBFC"/>
          </w:tcPr>
          <w:p>
            <w:pPr>
              <w:spacing w:after="0" w:line="240" w:lineRule="auto"/>
            </w:pPr>
            <w:r>
              <w:rPr>
                <w:rFonts w:ascii="Arial" w:hAnsi="Arial"/>
                <w:b/>
                <w:sz w:val="17"/>
              </w:rPr>
              <w:t>Williams &amp; Kraft</w:t>
            </w:r>
          </w:p>
        </w:tc>
        <w:tc>
          <w:tcPr>
            <w:tcW w:type="dxa" w:w="6576"/>
            <w:tcMar>
              <w:top w:w="70" w:type="dxa"/>
              <w:start w:w="75" w:type="dxa"/>
              <w:bottom w:w="70" w:type="dxa"/>
              <w:end w:w="75" w:type="dxa"/>
            </w:tcMar>
            <w:vAlign w:val="top"/>
            <w:shd w:fill="F9FBFC"/>
          </w:tcPr>
          <w:p>
            <w:pPr>
              <w:spacing w:after="0" w:line="240" w:lineRule="auto"/>
            </w:pPr>
            <w:r>
              <w:rPr>
                <w:rFonts w:ascii="Arial" w:hAnsi="Arial"/>
                <w:b w:val="0"/>
                <w:sz w:val="17"/>
              </w:rPr>
              <w:t>The Mindfulness Workbook for Addiction, 2nd ed., 2022.</w:t>
            </w:r>
          </w:p>
        </w:tc>
      </w:tr>
    </w:tbl>
    <w:p>
      <w:pPr>
        <w:spacing w:after="20"/>
      </w:pPr>
    </w:p>
    <w:tbl>
      <w:tblPr>
        <w:tblW w:type="auto" w:w="0"/>
        <w:jc w:val="center"/>
        <w:tblLayout w:type="fixed"/>
        <w:tblLook w:firstColumn="1" w:firstRow="1" w:lastColumn="0" w:lastRow="0" w:noHBand="0" w:noVBand="1" w:val="04A0"/>
      </w:tblPr>
      <w:tblGrid>
        <w:gridCol w:w="9638"/>
      </w:tblGrid>
      <w:tr>
        <w:tc>
          <w:tcPr>
            <w:tcW w:type="dxa" w:w="9411"/>
            <w:shd w:fill="FBEDEE"/>
            <w:tcBorders>
              <w:top w:val="single" w:sz="8" w:color="A43B3B"/>
              <w:left w:val="single" w:sz="8" w:color="A43B3B"/>
              <w:bottom w:val="single" w:sz="8" w:color="A43B3B"/>
              <w:right w:val="single" w:sz="8" w:color="A43B3B"/>
            </w:tcBorders>
            <w:tcMar>
              <w:top w:w="120" w:type="dxa"/>
              <w:start w:w="150" w:type="dxa"/>
              <w:bottom w:w="120" w:type="dxa"/>
              <w:end w:w="150" w:type="dxa"/>
            </w:tcMar>
            <w:vAlign w:val="top"/>
          </w:tcPr>
          <w:p>
            <w:pPr>
              <w:spacing w:line="240" w:lineRule="auto"/>
            </w:pPr>
            <w:r>
              <w:rPr>
                <w:rFonts w:ascii="Arial" w:hAnsi="Arial"/>
                <w:b/>
                <w:color w:val="A43B3B"/>
                <w:sz w:val="21"/>
              </w:rPr>
              <w:t>Drepturi de autor</w:t>
            </w:r>
          </w:p>
          <w:p>
            <w:pPr>
              <w:spacing w:after="0" w:line="240" w:lineRule="auto"/>
            </w:pPr>
            <w:r>
              <w:rPr>
                <w:rFonts w:ascii="Arial" w:hAnsi="Arial"/>
              </w:rPr>
              <w:t>Manualul sintetizează principii și propune formulare originale. Nu reproduce instrumente, fișe sau texte protejate. Orice scală sau material extern trebuie utilizat conform licenței.</w:t>
            </w:r>
          </w:p>
        </w:tc>
      </w:tr>
    </w:tbl>
    <w:p>
      <w:pPr>
        <w:spacing w:after="20"/>
      </w:pPr>
    </w:p>
    <w:p>
      <w:pPr>
        <w:spacing w:before="600"/>
        <w:jc w:val="center"/>
      </w:pPr>
      <w:r>
        <w:rPr>
          <w:b/>
          <w:color w:val="17324D"/>
          <w:sz w:val="32"/>
        </w:rPr>
        <w:t>Șapte cărări. Un traseu clinic ales împreună.</w:t>
      </w:r>
    </w:p>
    <w:sectPr w:rsidR="00FC693F" w:rsidRPr="0006063C" w:rsidSect="00034616">
      <w:headerReference w:type="default" r:id="rId9"/>
      <w:footerReference w:type="default" r:id="rId10"/>
      <w:pgSz w:w="11906" w:h="16838"/>
      <w:pgMar w:top="1020" w:right="1134" w:bottom="964"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7085"/>
        <w:sz w:val="16"/>
      </w:rPr>
      <w:t xml:space="preserve">Versiune de lucru 0.2  •  iulie 2026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667085"/>
        <w:sz w:val="16"/>
      </w:rPr>
      <w:t>7 CĂRĂRI  |  MANUAL CLINIC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7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197A7A"/>
      <w:sz w:val="27"/>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4E7A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val="0"/>
      <w:i/>
      <w:iCs/>
      <w:color w:val="197A7A"/>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667085"/>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Cărări – Manual clinic complet</dc:title>
  <dc:subject>Program clinic de recovery management în adicții</dc:subject>
  <dc:creator>OpenAI – document de lucru pentru Dr. Ovidiu Balaban-Popa</dc:creator>
  <cp:keywords>7 Cărări, adicții, recovery management, protocol clinic, Psinaptic</cp:keywords>
  <dc:description>generated by python-docx</dc:description>
  <cp:lastModifiedBy/>
  <cp:revision>1</cp:revision>
  <dcterms:created xsi:type="dcterms:W3CDTF">2013-12-23T23:15:00Z</dcterms:created>
  <dcterms:modified xsi:type="dcterms:W3CDTF">2013-12-23T23:15:00Z</dcterms:modified>
  <cp:category/>
</cp:coreProperties>
</file>